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ind w:right="-86" w:rightChars="-41"/>
        <w:jc w:val="center"/>
        <w:rPr>
          <w:rFonts w:ascii="黑体" w:eastAsia="黑体"/>
          <w:b/>
          <w:bCs/>
          <w:sz w:val="44"/>
          <w:szCs w:val="44"/>
        </w:rPr>
      </w:pPr>
    </w:p>
    <w:p>
      <w:pPr>
        <w:ind w:right="-86" w:rightChars="-41"/>
        <w:jc w:val="center"/>
        <w:rPr>
          <w:rFonts w:ascii="黑体" w:eastAsia="黑体"/>
          <w:b/>
          <w:bCs/>
          <w:sz w:val="44"/>
          <w:szCs w:val="44"/>
        </w:rPr>
      </w:pPr>
    </w:p>
    <w:p>
      <w:pPr>
        <w:ind w:right="-86" w:rightChars="-41"/>
        <w:jc w:val="center"/>
        <w:rPr>
          <w:rFonts w:ascii="黑体" w:eastAsia="黑体"/>
          <w:b/>
          <w:bCs/>
          <w:sz w:val="44"/>
          <w:szCs w:val="44"/>
        </w:rPr>
      </w:pPr>
    </w:p>
    <w:p>
      <w:pPr>
        <w:ind w:right="-86" w:rightChars="-41"/>
        <w:jc w:val="center"/>
        <w:rPr>
          <w:rFonts w:ascii="黑体" w:eastAsia="黑体"/>
          <w:b/>
          <w:bCs/>
          <w:sz w:val="44"/>
          <w:szCs w:val="44"/>
        </w:rPr>
      </w:pPr>
    </w:p>
    <w:p>
      <w:pPr>
        <w:jc w:val="center"/>
        <w:rPr>
          <w:rFonts w:hint="eastAsia" w:ascii="微软雅黑" w:hAnsi="微软雅黑" w:eastAsia="微软雅黑"/>
          <w:b/>
          <w:sz w:val="45"/>
        </w:rPr>
      </w:pPr>
      <w:r>
        <w:rPr>
          <w:rFonts w:hint="eastAsia" w:ascii="微软雅黑" w:hAnsi="微软雅黑" w:eastAsia="微软雅黑"/>
          <w:b/>
          <w:sz w:val="45"/>
        </w:rPr>
        <w:t>乳源瑶族自治县环县城</w:t>
      </w:r>
      <w:r>
        <w:rPr>
          <w:rFonts w:hint="eastAsia" w:ascii="微软雅黑" w:hAnsi="微软雅黑" w:eastAsia="微软雅黑"/>
          <w:b/>
          <w:sz w:val="45"/>
          <w:lang w:eastAsia="zh-CN"/>
        </w:rPr>
        <w:t>山体林相</w:t>
      </w:r>
      <w:r>
        <w:rPr>
          <w:rFonts w:hint="eastAsia" w:ascii="微软雅黑" w:hAnsi="微软雅黑" w:eastAsia="微软雅黑"/>
          <w:b/>
          <w:sz w:val="45"/>
        </w:rPr>
        <w:t>提升</w:t>
      </w:r>
    </w:p>
    <w:p>
      <w:pPr>
        <w:jc w:val="center"/>
        <w:rPr>
          <w:rFonts w:ascii="微软雅黑" w:hAnsi="微软雅黑" w:eastAsia="微软雅黑"/>
          <w:b/>
          <w:sz w:val="39"/>
        </w:rPr>
      </w:pPr>
      <w:r>
        <w:rPr>
          <w:rFonts w:hint="eastAsia" w:ascii="微软雅黑" w:hAnsi="微软雅黑" w:eastAsia="微软雅黑"/>
          <w:b/>
          <w:sz w:val="45"/>
        </w:rPr>
        <w:t>概念</w:t>
      </w:r>
      <w:r>
        <w:rPr>
          <w:rFonts w:hint="eastAsia" w:ascii="微软雅黑" w:hAnsi="微软雅黑" w:eastAsia="微软雅黑"/>
          <w:b/>
          <w:sz w:val="45"/>
          <w:lang w:eastAsia="zh-CN"/>
        </w:rPr>
        <w:t>性</w:t>
      </w:r>
      <w:r>
        <w:rPr>
          <w:rFonts w:hint="eastAsia" w:ascii="微软雅黑" w:hAnsi="微软雅黑" w:eastAsia="微软雅黑"/>
          <w:b/>
          <w:sz w:val="45"/>
        </w:rPr>
        <w:t>规划项目计划书</w:t>
      </w: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ind w:right="-86" w:rightChars="-41"/>
        <w:jc w:val="center"/>
      </w:pPr>
    </w:p>
    <w:p>
      <w:pPr>
        <w:spacing w:line="360" w:lineRule="auto"/>
        <w:ind w:right="-86" w:rightChars="-41"/>
      </w:pPr>
    </w:p>
    <w:p>
      <w:pPr>
        <w:spacing w:line="360" w:lineRule="auto"/>
        <w:ind w:right="-86" w:rightChars="-41"/>
        <w:jc w:val="center"/>
        <w:rPr>
          <w:rFonts w:ascii="宋体" w:hAnsi="宋体"/>
          <w:bCs/>
          <w:sz w:val="24"/>
        </w:rPr>
      </w:pPr>
    </w:p>
    <w:p>
      <w:pPr>
        <w:spacing w:line="360" w:lineRule="auto"/>
        <w:ind w:right="-86" w:rightChars="-41"/>
        <w:jc w:val="center"/>
        <w:rPr>
          <w:rFonts w:ascii="宋体" w:hAnsi="宋体"/>
          <w:bCs/>
          <w:sz w:val="24"/>
        </w:rPr>
      </w:pPr>
      <w:r>
        <w:rPr>
          <w:rFonts w:hint="eastAsia" w:ascii="宋体" w:hAnsi="宋体"/>
          <w:bCs/>
          <w:sz w:val="24"/>
        </w:rPr>
        <w:t>广州市科城规划勘测技术有限公司</w:t>
      </w:r>
    </w:p>
    <w:p>
      <w:pPr>
        <w:spacing w:line="360" w:lineRule="auto"/>
        <w:ind w:right="-86" w:rightChars="-41"/>
        <w:jc w:val="center"/>
        <w:rPr>
          <w:rFonts w:ascii="宋体" w:hAnsi="宋体"/>
          <w:sz w:val="24"/>
        </w:rPr>
        <w:sectPr>
          <w:footerReference r:id="rId3" w:type="default"/>
          <w:pgSz w:w="11906" w:h="16838"/>
          <w:pgMar w:top="1440" w:right="1800" w:bottom="1440" w:left="1800" w:header="851" w:footer="850" w:gutter="0"/>
          <w:pgNumType w:fmt="upperRoman" w:start="1"/>
          <w:cols w:space="425" w:num="1"/>
          <w:docGrid w:type="lines" w:linePitch="312" w:charSpace="0"/>
        </w:sectPr>
      </w:pPr>
      <w:r>
        <w:rPr>
          <w:rFonts w:hint="eastAsia" w:ascii="宋体" w:hAnsi="宋体"/>
          <w:bCs/>
          <w:sz w:val="24"/>
        </w:rPr>
        <w:t>2020.03</w:t>
      </w:r>
    </w:p>
    <w:sdt>
      <w:sdtPr>
        <w:rPr>
          <w:rFonts w:ascii="Times New Roman" w:hAnsi="Times New Roman" w:eastAsia="宋体" w:cs="Times New Roman"/>
          <w:b w:val="0"/>
          <w:bCs w:val="0"/>
          <w:color w:val="auto"/>
          <w:kern w:val="2"/>
          <w:sz w:val="24"/>
          <w:szCs w:val="24"/>
          <w:lang w:val="zh-CN"/>
        </w:rPr>
        <w:id w:val="1649858226"/>
        <w:docPartObj>
          <w:docPartGallery w:val="Table of Contents"/>
          <w:docPartUnique/>
        </w:docPartObj>
      </w:sdtPr>
      <w:sdtEndPr>
        <w:rPr>
          <w:rFonts w:asciiTheme="minorHAnsi" w:hAnsiTheme="minorHAnsi" w:eastAsiaTheme="minorEastAsia" w:cstheme="minorBidi"/>
          <w:b w:val="0"/>
          <w:bCs w:val="0"/>
          <w:color w:val="auto"/>
          <w:kern w:val="2"/>
          <w:sz w:val="24"/>
          <w:szCs w:val="24"/>
          <w:lang w:val="zh-CN"/>
        </w:rPr>
      </w:sdtEndPr>
      <w:sdtContent>
        <w:p>
          <w:pPr>
            <w:pStyle w:val="32"/>
            <w:spacing w:line="360" w:lineRule="auto"/>
            <w:jc w:val="center"/>
            <w:rPr>
              <w:rFonts w:ascii="黑体" w:hAnsi="黑体" w:eastAsia="黑体"/>
              <w:color w:val="000000" w:themeColor="text1"/>
              <w:sz w:val="32"/>
              <w:lang w:val="zh-CN"/>
              <w14:textFill>
                <w14:solidFill>
                  <w14:schemeClr w14:val="tx1"/>
                </w14:solidFill>
              </w14:textFill>
            </w:rPr>
          </w:pPr>
          <w:r>
            <w:rPr>
              <w:rFonts w:ascii="黑体" w:hAnsi="黑体" w:eastAsia="黑体"/>
              <w:color w:val="000000" w:themeColor="text1"/>
              <w:sz w:val="32"/>
              <w:lang w:val="zh-CN"/>
              <w14:textFill>
                <w14:solidFill>
                  <w14:schemeClr w14:val="tx1"/>
                </w14:solidFill>
              </w14:textFill>
            </w:rPr>
            <w:t>目</w:t>
          </w:r>
          <w:r>
            <w:rPr>
              <w:rFonts w:hint="eastAsia" w:ascii="黑体" w:hAnsi="黑体" w:eastAsia="黑体"/>
              <w:color w:val="000000" w:themeColor="text1"/>
              <w:sz w:val="32"/>
              <w:lang w:val="zh-CN"/>
              <w14:textFill>
                <w14:solidFill>
                  <w14:schemeClr w14:val="tx1"/>
                </w14:solidFill>
              </w14:textFill>
            </w:rPr>
            <w:t xml:space="preserve">   </w:t>
          </w:r>
          <w:r>
            <w:rPr>
              <w:rFonts w:ascii="黑体" w:hAnsi="黑体" w:eastAsia="黑体"/>
              <w:color w:val="000000" w:themeColor="text1"/>
              <w:sz w:val="32"/>
              <w:lang w:val="zh-CN"/>
              <w14:textFill>
                <w14:solidFill>
                  <w14:schemeClr w14:val="tx1"/>
                </w14:solidFill>
              </w14:textFill>
            </w:rPr>
            <w:t>录</w:t>
          </w:r>
        </w:p>
        <w:p>
          <w:pPr>
            <w:spacing w:line="360" w:lineRule="auto"/>
            <w:rPr>
              <w:sz w:val="24"/>
              <w:lang w:val="zh-CN"/>
            </w:rPr>
          </w:pPr>
        </w:p>
        <w:p>
          <w:pPr>
            <w:pStyle w:val="13"/>
            <w:tabs>
              <w:tab w:val="right" w:leader="dot" w:pos="8296"/>
            </w:tabs>
            <w:spacing w:line="360" w:lineRule="auto"/>
            <w:rPr>
              <w:sz w:val="24"/>
              <w:szCs w:val="24"/>
            </w:rPr>
          </w:pPr>
          <w:r>
            <w:rPr>
              <w:sz w:val="24"/>
              <w:szCs w:val="24"/>
            </w:rPr>
            <w:fldChar w:fldCharType="begin"/>
          </w:r>
          <w:r>
            <w:rPr>
              <w:sz w:val="24"/>
              <w:szCs w:val="24"/>
            </w:rPr>
            <w:instrText xml:space="preserve"> TOC \o "1-3" \h \z \u </w:instrText>
          </w:r>
          <w:r>
            <w:rPr>
              <w:sz w:val="24"/>
              <w:szCs w:val="24"/>
            </w:rPr>
            <w:fldChar w:fldCharType="separate"/>
          </w:r>
          <w:r>
            <w:fldChar w:fldCharType="begin"/>
          </w:r>
          <w:r>
            <w:instrText xml:space="preserve"> HYPERLINK \l "_Toc477945601" </w:instrText>
          </w:r>
          <w:r>
            <w:fldChar w:fldCharType="separate"/>
          </w:r>
          <w:r>
            <w:rPr>
              <w:rStyle w:val="20"/>
              <w:rFonts w:ascii="宋体" w:hAnsi="宋体" w:eastAsia="宋体"/>
              <w:b/>
              <w:sz w:val="24"/>
              <w:szCs w:val="24"/>
            </w:rPr>
            <w:t>1</w:t>
          </w:r>
          <w:r>
            <w:rPr>
              <w:rStyle w:val="20"/>
              <w:rFonts w:hint="eastAsia" w:ascii="宋体" w:hAnsi="宋体" w:eastAsia="宋体"/>
              <w:b/>
              <w:sz w:val="24"/>
              <w:szCs w:val="24"/>
            </w:rPr>
            <w:t>项目背景</w:t>
          </w:r>
          <w:r>
            <w:rPr>
              <w:sz w:val="24"/>
              <w:szCs w:val="24"/>
            </w:rPr>
            <w:tab/>
          </w:r>
          <w:r>
            <w:rPr>
              <w:sz w:val="24"/>
              <w:szCs w:val="24"/>
            </w:rPr>
            <w:fldChar w:fldCharType="begin"/>
          </w:r>
          <w:r>
            <w:rPr>
              <w:sz w:val="24"/>
              <w:szCs w:val="24"/>
            </w:rPr>
            <w:instrText xml:space="preserve"> PAGEREF _Toc477945601 \h </w:instrText>
          </w:r>
          <w:r>
            <w:rPr>
              <w:sz w:val="24"/>
              <w:szCs w:val="24"/>
            </w:rPr>
            <w:fldChar w:fldCharType="separate"/>
          </w:r>
          <w:r>
            <w:rPr>
              <w:sz w:val="24"/>
              <w:szCs w:val="24"/>
            </w:rPr>
            <w:t>1</w:t>
          </w:r>
          <w:r>
            <w:rPr>
              <w:sz w:val="24"/>
              <w:szCs w:val="24"/>
            </w:rPr>
            <w:fldChar w:fldCharType="end"/>
          </w:r>
          <w:r>
            <w:rPr>
              <w:sz w:val="24"/>
              <w:szCs w:val="24"/>
            </w:rPr>
            <w:fldChar w:fldCharType="end"/>
          </w:r>
        </w:p>
        <w:p>
          <w:pPr>
            <w:pStyle w:val="13"/>
            <w:tabs>
              <w:tab w:val="right" w:leader="dot" w:pos="8296"/>
            </w:tabs>
            <w:spacing w:line="360" w:lineRule="auto"/>
            <w:rPr>
              <w:sz w:val="24"/>
              <w:szCs w:val="24"/>
            </w:rPr>
          </w:pPr>
          <w:r>
            <w:fldChar w:fldCharType="begin"/>
          </w:r>
          <w:r>
            <w:instrText xml:space="preserve"> HYPERLINK \l "_Toc477945609" </w:instrText>
          </w:r>
          <w:r>
            <w:fldChar w:fldCharType="separate"/>
          </w:r>
          <w:r>
            <w:rPr>
              <w:rStyle w:val="20"/>
              <w:rFonts w:ascii="宋体" w:hAnsi="宋体" w:eastAsia="宋体"/>
              <w:b/>
              <w:sz w:val="24"/>
              <w:szCs w:val="24"/>
            </w:rPr>
            <w:t>2</w:t>
          </w:r>
          <w:r>
            <w:rPr>
              <w:rStyle w:val="20"/>
              <w:rFonts w:hint="eastAsia" w:ascii="宋体" w:hAnsi="宋体" w:eastAsia="宋体"/>
              <w:b/>
              <w:sz w:val="24"/>
              <w:szCs w:val="24"/>
            </w:rPr>
            <w:t>项目范围</w:t>
          </w:r>
          <w:r>
            <w:rPr>
              <w:sz w:val="24"/>
              <w:szCs w:val="24"/>
            </w:rPr>
            <w:tab/>
          </w:r>
          <w:r>
            <w:rPr>
              <w:rFonts w:hint="eastAsia"/>
              <w:sz w:val="24"/>
              <w:szCs w:val="24"/>
            </w:rPr>
            <w:t>2</w:t>
          </w:r>
          <w:r>
            <w:rPr>
              <w:rFonts w:hint="eastAsia"/>
              <w:sz w:val="24"/>
              <w:szCs w:val="24"/>
            </w:rPr>
            <w:fldChar w:fldCharType="end"/>
          </w:r>
        </w:p>
        <w:p>
          <w:pPr>
            <w:pStyle w:val="13"/>
            <w:tabs>
              <w:tab w:val="right" w:leader="dot" w:pos="8296"/>
            </w:tabs>
            <w:spacing w:line="360" w:lineRule="auto"/>
            <w:rPr>
              <w:sz w:val="24"/>
              <w:szCs w:val="24"/>
            </w:rPr>
          </w:pPr>
          <w:r>
            <w:fldChar w:fldCharType="begin"/>
          </w:r>
          <w:r>
            <w:instrText xml:space="preserve"> HYPERLINK \l "_Toc477945611" </w:instrText>
          </w:r>
          <w:r>
            <w:fldChar w:fldCharType="separate"/>
          </w:r>
          <w:r>
            <w:rPr>
              <w:rStyle w:val="20"/>
              <w:rFonts w:ascii="宋体" w:hAnsi="宋体" w:eastAsia="宋体"/>
              <w:b/>
              <w:sz w:val="24"/>
              <w:szCs w:val="24"/>
            </w:rPr>
            <w:t>3</w:t>
          </w:r>
          <w:r>
            <w:rPr>
              <w:rStyle w:val="20"/>
              <w:rFonts w:hint="eastAsia" w:ascii="宋体" w:hAnsi="宋体" w:eastAsia="宋体"/>
              <w:b/>
              <w:sz w:val="24"/>
              <w:szCs w:val="24"/>
            </w:rPr>
            <w:t>工作思路</w:t>
          </w:r>
          <w:r>
            <w:rPr>
              <w:sz w:val="24"/>
              <w:szCs w:val="24"/>
            </w:rPr>
            <w:tab/>
          </w:r>
          <w:r>
            <w:rPr>
              <w:rFonts w:hint="eastAsia"/>
              <w:sz w:val="24"/>
              <w:szCs w:val="24"/>
            </w:rPr>
            <w:t>2</w:t>
          </w:r>
          <w:r>
            <w:rPr>
              <w:rFonts w:hint="eastAsia"/>
              <w:sz w:val="24"/>
              <w:szCs w:val="24"/>
            </w:rPr>
            <w:fldChar w:fldCharType="end"/>
          </w:r>
        </w:p>
        <w:p>
          <w:pPr>
            <w:pStyle w:val="13"/>
            <w:tabs>
              <w:tab w:val="right" w:leader="dot" w:pos="8296"/>
            </w:tabs>
            <w:spacing w:line="360" w:lineRule="auto"/>
            <w:rPr>
              <w:sz w:val="24"/>
              <w:szCs w:val="24"/>
            </w:rPr>
          </w:pPr>
          <w:r>
            <w:fldChar w:fldCharType="begin"/>
          </w:r>
          <w:r>
            <w:instrText xml:space="preserve"> HYPERLINK \l "_Toc477945612" </w:instrText>
          </w:r>
          <w:r>
            <w:fldChar w:fldCharType="separate"/>
          </w:r>
          <w:r>
            <w:rPr>
              <w:rStyle w:val="20"/>
              <w:rFonts w:ascii="Times New Roman" w:hAnsi="Times New Roman" w:eastAsia="宋体"/>
              <w:sz w:val="24"/>
              <w:szCs w:val="24"/>
            </w:rPr>
            <w:t>3.1</w:t>
          </w:r>
          <w:r>
            <w:rPr>
              <w:rStyle w:val="20"/>
              <w:rFonts w:hint="eastAsia" w:ascii="Times New Roman" w:hAnsi="Times New Roman" w:eastAsia="宋体"/>
              <w:sz w:val="24"/>
              <w:szCs w:val="24"/>
            </w:rPr>
            <w:t>现状调研</w:t>
          </w:r>
          <w:r>
            <w:rPr>
              <w:sz w:val="24"/>
              <w:szCs w:val="24"/>
            </w:rPr>
            <w:tab/>
          </w:r>
          <w:r>
            <w:rPr>
              <w:rFonts w:hint="eastAsia"/>
              <w:sz w:val="24"/>
              <w:szCs w:val="24"/>
            </w:rPr>
            <w:t>3</w:t>
          </w:r>
          <w:r>
            <w:rPr>
              <w:rFonts w:hint="eastAsia"/>
              <w:sz w:val="24"/>
              <w:szCs w:val="24"/>
            </w:rPr>
            <w:fldChar w:fldCharType="end"/>
          </w:r>
        </w:p>
        <w:p>
          <w:pPr>
            <w:pStyle w:val="13"/>
            <w:tabs>
              <w:tab w:val="right" w:leader="dot" w:pos="8296"/>
            </w:tabs>
            <w:spacing w:line="360" w:lineRule="auto"/>
            <w:rPr>
              <w:sz w:val="24"/>
              <w:szCs w:val="24"/>
            </w:rPr>
          </w:pPr>
          <w:r>
            <w:fldChar w:fldCharType="begin"/>
          </w:r>
          <w:r>
            <w:instrText xml:space="preserve"> HYPERLINK \l "_Toc477945613" </w:instrText>
          </w:r>
          <w:r>
            <w:fldChar w:fldCharType="separate"/>
          </w:r>
          <w:r>
            <w:rPr>
              <w:rStyle w:val="20"/>
              <w:rFonts w:ascii="Times New Roman" w:hAnsi="Times New Roman" w:eastAsia="宋体"/>
              <w:sz w:val="24"/>
              <w:szCs w:val="24"/>
            </w:rPr>
            <w:t>3.2</w:t>
          </w:r>
          <w:r>
            <w:rPr>
              <w:rStyle w:val="20"/>
              <w:rFonts w:hint="eastAsia" w:ascii="Times New Roman" w:hAnsi="Times New Roman" w:eastAsia="宋体"/>
              <w:sz w:val="24"/>
              <w:szCs w:val="24"/>
            </w:rPr>
            <w:t>规划解读</w:t>
          </w:r>
          <w:r>
            <w:rPr>
              <w:sz w:val="24"/>
              <w:szCs w:val="24"/>
            </w:rPr>
            <w:tab/>
          </w:r>
          <w:r>
            <w:rPr>
              <w:rFonts w:hint="eastAsia"/>
              <w:sz w:val="24"/>
              <w:szCs w:val="24"/>
            </w:rPr>
            <w:t>3</w:t>
          </w:r>
          <w:r>
            <w:rPr>
              <w:rFonts w:hint="eastAsia"/>
              <w:sz w:val="24"/>
              <w:szCs w:val="24"/>
            </w:rPr>
            <w:fldChar w:fldCharType="end"/>
          </w:r>
        </w:p>
        <w:p>
          <w:pPr>
            <w:pStyle w:val="13"/>
            <w:tabs>
              <w:tab w:val="right" w:leader="dot" w:pos="8296"/>
            </w:tabs>
            <w:spacing w:line="360" w:lineRule="auto"/>
            <w:rPr>
              <w:sz w:val="24"/>
              <w:szCs w:val="24"/>
            </w:rPr>
          </w:pPr>
          <w:r>
            <w:fldChar w:fldCharType="begin"/>
          </w:r>
          <w:r>
            <w:instrText xml:space="preserve"> HYPERLINK \l "_Toc477945614" </w:instrText>
          </w:r>
          <w:r>
            <w:fldChar w:fldCharType="separate"/>
          </w:r>
          <w:r>
            <w:rPr>
              <w:rStyle w:val="20"/>
              <w:rFonts w:ascii="Times New Roman" w:hAnsi="Times New Roman" w:eastAsia="宋体"/>
              <w:sz w:val="24"/>
              <w:szCs w:val="24"/>
            </w:rPr>
            <w:t>3.3</w:t>
          </w:r>
          <w:r>
            <w:rPr>
              <w:rStyle w:val="20"/>
              <w:rFonts w:hint="eastAsia" w:ascii="Times New Roman" w:hAnsi="Times New Roman" w:eastAsia="宋体"/>
              <w:sz w:val="24"/>
              <w:szCs w:val="24"/>
            </w:rPr>
            <w:t>规划目标及策略</w:t>
          </w:r>
          <w:r>
            <w:rPr>
              <w:sz w:val="24"/>
              <w:szCs w:val="24"/>
            </w:rPr>
            <w:tab/>
          </w:r>
          <w:r>
            <w:rPr>
              <w:sz w:val="24"/>
              <w:szCs w:val="24"/>
            </w:rPr>
            <w:fldChar w:fldCharType="end"/>
          </w:r>
          <w:r>
            <w:rPr>
              <w:rFonts w:hint="eastAsia"/>
              <w:sz w:val="24"/>
              <w:szCs w:val="24"/>
            </w:rPr>
            <w:t>3</w:t>
          </w:r>
        </w:p>
        <w:p>
          <w:pPr>
            <w:pStyle w:val="13"/>
            <w:tabs>
              <w:tab w:val="right" w:leader="dot" w:pos="8296"/>
            </w:tabs>
            <w:spacing w:line="360" w:lineRule="auto"/>
            <w:rPr>
              <w:sz w:val="24"/>
              <w:szCs w:val="24"/>
            </w:rPr>
          </w:pPr>
          <w:r>
            <w:fldChar w:fldCharType="begin"/>
          </w:r>
          <w:r>
            <w:instrText xml:space="preserve"> HYPERLINK \l "_Toc477945615" </w:instrText>
          </w:r>
          <w:r>
            <w:fldChar w:fldCharType="separate"/>
          </w:r>
          <w:r>
            <w:rPr>
              <w:rStyle w:val="20"/>
              <w:rFonts w:ascii="Times New Roman" w:hAnsi="Times New Roman" w:eastAsia="宋体"/>
              <w:sz w:val="24"/>
              <w:szCs w:val="24"/>
            </w:rPr>
            <w:t>3.4</w:t>
          </w:r>
          <w:r>
            <w:rPr>
              <w:rStyle w:val="20"/>
              <w:rFonts w:hint="eastAsia" w:ascii="Times New Roman" w:hAnsi="Times New Roman" w:eastAsia="宋体"/>
              <w:sz w:val="24"/>
              <w:szCs w:val="24"/>
            </w:rPr>
            <w:t>提升思路</w:t>
          </w:r>
          <w:r>
            <w:rPr>
              <w:sz w:val="24"/>
              <w:szCs w:val="24"/>
            </w:rPr>
            <w:tab/>
          </w:r>
          <w:r>
            <w:rPr>
              <w:sz w:val="24"/>
              <w:szCs w:val="24"/>
            </w:rPr>
            <w:fldChar w:fldCharType="end"/>
          </w:r>
          <w:r>
            <w:rPr>
              <w:rFonts w:hint="eastAsia"/>
              <w:sz w:val="24"/>
              <w:szCs w:val="24"/>
            </w:rPr>
            <w:t>3</w:t>
          </w:r>
        </w:p>
        <w:p>
          <w:pPr>
            <w:pStyle w:val="13"/>
            <w:tabs>
              <w:tab w:val="right" w:leader="dot" w:pos="8296"/>
            </w:tabs>
            <w:spacing w:line="360" w:lineRule="auto"/>
            <w:rPr>
              <w:sz w:val="24"/>
              <w:szCs w:val="24"/>
            </w:rPr>
          </w:pPr>
          <w:r>
            <w:fldChar w:fldCharType="begin"/>
          </w:r>
          <w:r>
            <w:instrText xml:space="preserve"> HYPERLINK \l "_Toc477945615" </w:instrText>
          </w:r>
          <w:r>
            <w:fldChar w:fldCharType="separate"/>
          </w:r>
          <w:r>
            <w:rPr>
              <w:rStyle w:val="20"/>
              <w:rFonts w:ascii="Times New Roman" w:hAnsi="Times New Roman" w:eastAsia="宋体"/>
              <w:sz w:val="24"/>
              <w:szCs w:val="24"/>
            </w:rPr>
            <w:t>3.</w:t>
          </w:r>
          <w:r>
            <w:rPr>
              <w:rStyle w:val="20"/>
              <w:rFonts w:hint="eastAsia" w:ascii="Times New Roman" w:hAnsi="Times New Roman" w:eastAsia="宋体"/>
              <w:sz w:val="24"/>
              <w:szCs w:val="24"/>
            </w:rPr>
            <w:t>5实施项目库及保障措施</w:t>
          </w:r>
          <w:r>
            <w:rPr>
              <w:sz w:val="24"/>
              <w:szCs w:val="24"/>
            </w:rPr>
            <w:tab/>
          </w:r>
          <w:r>
            <w:rPr>
              <w:sz w:val="24"/>
              <w:szCs w:val="24"/>
            </w:rPr>
            <w:fldChar w:fldCharType="end"/>
          </w:r>
          <w:r>
            <w:rPr>
              <w:rFonts w:hint="eastAsia"/>
              <w:sz w:val="24"/>
              <w:szCs w:val="24"/>
            </w:rPr>
            <w:t>4</w:t>
          </w:r>
        </w:p>
        <w:p>
          <w:pPr>
            <w:pStyle w:val="13"/>
            <w:tabs>
              <w:tab w:val="right" w:leader="dot" w:pos="8296"/>
            </w:tabs>
            <w:spacing w:line="360" w:lineRule="auto"/>
            <w:rPr>
              <w:sz w:val="24"/>
              <w:szCs w:val="24"/>
            </w:rPr>
          </w:pPr>
          <w:r>
            <w:fldChar w:fldCharType="begin"/>
          </w:r>
          <w:r>
            <w:instrText xml:space="preserve"> HYPERLINK \l "_Toc477945617" </w:instrText>
          </w:r>
          <w:r>
            <w:fldChar w:fldCharType="separate"/>
          </w:r>
          <w:r>
            <w:rPr>
              <w:rStyle w:val="20"/>
              <w:rFonts w:ascii="宋体" w:hAnsi="宋体" w:eastAsia="宋体"/>
              <w:b/>
              <w:sz w:val="24"/>
              <w:szCs w:val="24"/>
            </w:rPr>
            <w:t>4</w:t>
          </w:r>
          <w:r>
            <w:rPr>
              <w:rStyle w:val="20"/>
              <w:rFonts w:hint="eastAsia" w:ascii="宋体" w:hAnsi="宋体" w:eastAsia="宋体"/>
              <w:b/>
              <w:sz w:val="24"/>
              <w:szCs w:val="24"/>
            </w:rPr>
            <w:t>项目计划安排</w:t>
          </w:r>
          <w:r>
            <w:rPr>
              <w:sz w:val="24"/>
              <w:szCs w:val="24"/>
            </w:rPr>
            <w:tab/>
          </w:r>
          <w:r>
            <w:rPr>
              <w:sz w:val="24"/>
              <w:szCs w:val="24"/>
            </w:rPr>
            <w:fldChar w:fldCharType="end"/>
          </w:r>
          <w:r>
            <w:rPr>
              <w:rFonts w:hint="eastAsia"/>
              <w:sz w:val="24"/>
              <w:szCs w:val="24"/>
            </w:rPr>
            <w:t>4</w:t>
          </w:r>
        </w:p>
        <w:p>
          <w:pPr>
            <w:pStyle w:val="13"/>
            <w:tabs>
              <w:tab w:val="right" w:leader="dot" w:pos="8296"/>
            </w:tabs>
            <w:spacing w:line="360" w:lineRule="auto"/>
            <w:rPr>
              <w:sz w:val="24"/>
              <w:szCs w:val="24"/>
            </w:rPr>
          </w:pPr>
          <w:r>
            <w:fldChar w:fldCharType="begin"/>
          </w:r>
          <w:r>
            <w:instrText xml:space="preserve"> HYPERLINK \l "_Toc477945618" </w:instrText>
          </w:r>
          <w:r>
            <w:fldChar w:fldCharType="separate"/>
          </w:r>
          <w:r>
            <w:rPr>
              <w:rStyle w:val="20"/>
              <w:rFonts w:ascii="Times New Roman" w:hAnsi="Times New Roman" w:eastAsia="宋体"/>
              <w:sz w:val="24"/>
              <w:szCs w:val="24"/>
            </w:rPr>
            <w:t>4.1</w:t>
          </w:r>
          <w:r>
            <w:rPr>
              <w:rStyle w:val="20"/>
              <w:rFonts w:hint="eastAsia" w:ascii="Times New Roman" w:hAnsi="Times New Roman" w:eastAsia="宋体"/>
              <w:sz w:val="24"/>
              <w:szCs w:val="24"/>
            </w:rPr>
            <w:t>时间安排</w:t>
          </w:r>
          <w:r>
            <w:rPr>
              <w:sz w:val="24"/>
              <w:szCs w:val="24"/>
            </w:rPr>
            <w:tab/>
          </w:r>
          <w:r>
            <w:rPr>
              <w:sz w:val="24"/>
              <w:szCs w:val="24"/>
            </w:rPr>
            <w:fldChar w:fldCharType="end"/>
          </w:r>
          <w:r>
            <w:rPr>
              <w:rFonts w:hint="eastAsia"/>
              <w:sz w:val="24"/>
              <w:szCs w:val="24"/>
            </w:rPr>
            <w:t>4</w:t>
          </w:r>
        </w:p>
        <w:p>
          <w:pPr>
            <w:pStyle w:val="13"/>
            <w:tabs>
              <w:tab w:val="right" w:leader="dot" w:pos="8296"/>
            </w:tabs>
            <w:spacing w:line="360" w:lineRule="auto"/>
            <w:rPr>
              <w:sz w:val="24"/>
              <w:szCs w:val="24"/>
            </w:rPr>
          </w:pPr>
          <w:r>
            <w:fldChar w:fldCharType="begin"/>
          </w:r>
          <w:r>
            <w:instrText xml:space="preserve"> HYPERLINK \l "_Toc477945619" </w:instrText>
          </w:r>
          <w:r>
            <w:fldChar w:fldCharType="separate"/>
          </w:r>
          <w:r>
            <w:rPr>
              <w:rStyle w:val="20"/>
              <w:rFonts w:ascii="Times New Roman" w:hAnsi="Times New Roman" w:eastAsia="宋体"/>
              <w:sz w:val="24"/>
              <w:szCs w:val="24"/>
            </w:rPr>
            <w:t>4.2</w:t>
          </w:r>
          <w:r>
            <w:rPr>
              <w:rStyle w:val="20"/>
              <w:rFonts w:hint="eastAsia" w:ascii="Times New Roman" w:hAnsi="Times New Roman" w:eastAsia="宋体"/>
              <w:sz w:val="24"/>
              <w:szCs w:val="24"/>
            </w:rPr>
            <w:t>人员安排</w:t>
          </w:r>
          <w:r>
            <w:rPr>
              <w:sz w:val="24"/>
              <w:szCs w:val="24"/>
            </w:rPr>
            <w:tab/>
          </w:r>
          <w:r>
            <w:rPr>
              <w:sz w:val="24"/>
              <w:szCs w:val="24"/>
            </w:rPr>
            <w:fldChar w:fldCharType="end"/>
          </w:r>
          <w:r>
            <w:rPr>
              <w:rFonts w:hint="eastAsia"/>
              <w:sz w:val="24"/>
              <w:szCs w:val="24"/>
            </w:rPr>
            <w:t>4</w:t>
          </w:r>
        </w:p>
        <w:p>
          <w:pPr>
            <w:pStyle w:val="13"/>
            <w:tabs>
              <w:tab w:val="right" w:leader="dot" w:pos="8296"/>
            </w:tabs>
            <w:spacing w:line="360" w:lineRule="auto"/>
            <w:rPr>
              <w:sz w:val="24"/>
              <w:szCs w:val="24"/>
            </w:rPr>
          </w:pPr>
          <w:r>
            <w:fldChar w:fldCharType="begin"/>
          </w:r>
          <w:r>
            <w:instrText xml:space="preserve"> HYPERLINK \l "_Toc477945620" </w:instrText>
          </w:r>
          <w:r>
            <w:fldChar w:fldCharType="separate"/>
          </w:r>
          <w:r>
            <w:rPr>
              <w:rStyle w:val="20"/>
              <w:rFonts w:hint="eastAsia" w:ascii="宋体" w:hAnsi="宋体" w:eastAsia="宋体"/>
              <w:b/>
              <w:sz w:val="24"/>
              <w:szCs w:val="24"/>
            </w:rPr>
            <w:t>5规划费用</w:t>
          </w:r>
          <w:r>
            <w:rPr>
              <w:sz w:val="24"/>
              <w:szCs w:val="24"/>
            </w:rPr>
            <w:tab/>
          </w:r>
          <w:r>
            <w:rPr>
              <w:sz w:val="24"/>
              <w:szCs w:val="24"/>
            </w:rPr>
            <w:fldChar w:fldCharType="end"/>
          </w:r>
          <w:r>
            <w:rPr>
              <w:rFonts w:hint="eastAsia"/>
              <w:sz w:val="24"/>
              <w:szCs w:val="24"/>
            </w:rPr>
            <w:t>5</w:t>
          </w:r>
        </w:p>
        <w:p>
          <w:pPr>
            <w:spacing w:line="360" w:lineRule="auto"/>
            <w:rPr>
              <w:sz w:val="24"/>
              <w:szCs w:val="24"/>
            </w:rPr>
            <w:sectPr>
              <w:footerReference r:id="rId4" w:type="default"/>
              <w:pgSz w:w="11906" w:h="16838"/>
              <w:pgMar w:top="1440" w:right="1800" w:bottom="1440" w:left="1800" w:header="851" w:footer="850" w:gutter="0"/>
              <w:pgNumType w:fmt="upperRoman" w:start="1"/>
              <w:cols w:space="425" w:num="1"/>
              <w:docGrid w:type="lines" w:linePitch="312" w:charSpace="0"/>
            </w:sectPr>
          </w:pPr>
          <w:r>
            <w:rPr>
              <w:b/>
              <w:bCs/>
              <w:sz w:val="24"/>
              <w:szCs w:val="24"/>
              <w:lang w:val="zh-CN"/>
            </w:rPr>
            <w:fldChar w:fldCharType="end"/>
          </w:r>
        </w:p>
      </w:sdtContent>
    </w:sdt>
    <w:p>
      <w:pPr>
        <w:pStyle w:val="3"/>
        <w:ind w:right="-86" w:rightChars="-41"/>
        <w:rPr>
          <w:rFonts w:ascii="宋体" w:hAnsi="宋体" w:eastAsia="宋体"/>
        </w:rPr>
      </w:pPr>
      <w:bookmarkStart w:id="0" w:name="_Toc477945601"/>
      <w:bookmarkStart w:id="1" w:name="_Toc359933754"/>
      <w:r>
        <w:rPr>
          <w:rFonts w:hint="eastAsia" w:ascii="宋体" w:hAnsi="宋体" w:eastAsia="宋体"/>
        </w:rPr>
        <w:t>1项目背景</w:t>
      </w:r>
      <w:bookmarkEnd w:id="0"/>
      <w:bookmarkEnd w:id="1"/>
    </w:p>
    <w:p>
      <w:pPr>
        <w:pStyle w:val="3"/>
        <w:rPr>
          <w:rFonts w:ascii="宋体" w:hAnsi="宋体"/>
          <w:sz w:val="24"/>
        </w:rPr>
      </w:pPr>
      <w:bookmarkStart w:id="2" w:name="_Toc477886221"/>
      <w:bookmarkStart w:id="3" w:name="_Toc477889585"/>
      <w:bookmarkStart w:id="4" w:name="_Toc477945602"/>
      <w:r>
        <w:rPr>
          <w:rFonts w:hint="eastAsia" w:ascii="Times New Roman" w:hAnsi="Times New Roman" w:eastAsia="宋体"/>
          <w:bCs w:val="0"/>
          <w:sz w:val="24"/>
          <w:szCs w:val="24"/>
        </w:rPr>
        <w:t>1.</w:t>
      </w:r>
      <w:bookmarkEnd w:id="2"/>
      <w:bookmarkEnd w:id="3"/>
      <w:bookmarkEnd w:id="4"/>
      <w:r>
        <w:rPr>
          <w:rFonts w:ascii="Times New Roman" w:hAnsi="Times New Roman" w:eastAsia="宋体"/>
          <w:bCs w:val="0"/>
          <w:sz w:val="24"/>
          <w:szCs w:val="24"/>
        </w:rPr>
        <w:t>1</w:t>
      </w:r>
      <w:r>
        <w:rPr>
          <w:rFonts w:hint="eastAsia" w:ascii="Times New Roman" w:hAnsi="Times New Roman" w:eastAsia="宋体"/>
          <w:bCs w:val="0"/>
          <w:sz w:val="24"/>
          <w:szCs w:val="24"/>
        </w:rPr>
        <w:t>“森林城市”大背景下广东省启动了全域创建森林城市工作，大力推动森林县城、森林乡镇、森林村庄建设。</w:t>
      </w:r>
    </w:p>
    <w:p>
      <w:pPr>
        <w:spacing w:line="360" w:lineRule="auto"/>
        <w:ind w:firstLine="480" w:firstLineChars="200"/>
        <w:rPr>
          <w:rFonts w:ascii="宋体" w:hAnsi="宋体"/>
          <w:sz w:val="24"/>
        </w:rPr>
      </w:pPr>
      <w:r>
        <w:rPr>
          <w:rFonts w:hint="eastAsia" w:ascii="宋体" w:hAnsi="宋体"/>
          <w:sz w:val="24"/>
        </w:rPr>
        <w:t>森林城市以“有路皆绿、有城皆绿、有村皆绿”为目标，提倡以乡土树种为主，通过乔、灌、藤、草等植物合理配置，营造各种类型的森林和以树木为主体的绿地，形成以近自然森林为主的城市森林生态系统。</w:t>
      </w:r>
    </w:p>
    <w:p>
      <w:pPr>
        <w:spacing w:line="360" w:lineRule="auto"/>
        <w:ind w:firstLine="480" w:firstLineChars="200"/>
        <w:rPr>
          <w:rFonts w:ascii="宋体" w:hAnsi="宋体"/>
          <w:sz w:val="24"/>
        </w:rPr>
      </w:pPr>
      <w:r>
        <w:rPr>
          <w:rFonts w:hint="eastAsia" w:ascii="宋体" w:hAnsi="宋体"/>
          <w:sz w:val="24"/>
        </w:rPr>
        <w:t>乳源瑶族自治县积极响应韶关全力打造全省乃至全国首个全域国家森林城市地级市的工作目标的号召，提出紧紧抓住“大地植绿，心中播绿，全民享绿”主题，围绕“让森林走进城市，让城市拥抱森林”宗旨，努力实现组织动员全体市民共建共享生态建设成果的工作目标。</w:t>
      </w:r>
    </w:p>
    <w:p>
      <w:pPr>
        <w:pStyle w:val="3"/>
        <w:rPr>
          <w:rFonts w:ascii="宋体" w:hAnsi="宋体"/>
          <w:sz w:val="24"/>
        </w:rPr>
      </w:pPr>
      <w:r>
        <w:rPr>
          <w:rFonts w:hint="eastAsia" w:ascii="Times New Roman" w:hAnsi="Times New Roman" w:eastAsia="宋体"/>
          <w:bCs w:val="0"/>
          <w:sz w:val="24"/>
          <w:szCs w:val="24"/>
        </w:rPr>
        <w:t>1.2韶关市提出要求把大力发展旅游业作为实现全面建成小康社会的重要抓手。通过紧抓“大丹霞、大南华、大南岭、大珠玑”四大重点工作，以点带面，带动区域旅游经济发展。</w:t>
      </w:r>
    </w:p>
    <w:p>
      <w:pPr>
        <w:spacing w:line="360" w:lineRule="auto"/>
        <w:ind w:firstLine="480" w:firstLineChars="200"/>
        <w:rPr>
          <w:rFonts w:ascii="宋体" w:hAnsi="宋体"/>
          <w:sz w:val="24"/>
        </w:rPr>
      </w:pPr>
      <w:r>
        <w:rPr>
          <w:rFonts w:hint="eastAsia" w:ascii="宋体" w:hAnsi="宋体"/>
          <w:sz w:val="24"/>
        </w:rPr>
        <w:t>乳源瑶族自治县将以“大南岭”为龙头，借力“世界过山瑶之乡”少数民族风情，以及特色小镇和乡村田园综合体建设，引领“大南岭、大峡谷、大云门、大瑶寨、大南湖”五大景区发展，将乳源建设成为国内乃至国际著名的全域旅游目的地。</w:t>
      </w:r>
    </w:p>
    <w:p>
      <w:pPr>
        <w:spacing w:line="360" w:lineRule="auto"/>
        <w:ind w:firstLine="480" w:firstLineChars="200"/>
        <w:rPr>
          <w:rFonts w:ascii="宋体" w:hAnsi="宋体"/>
          <w:sz w:val="24"/>
        </w:rPr>
      </w:pPr>
      <w:r>
        <w:rPr>
          <w:rFonts w:hint="eastAsia" w:ascii="宋体" w:hAnsi="宋体"/>
          <w:sz w:val="24"/>
        </w:rPr>
        <w:t>本项目通过乳源瑶族自治县环县城绿化提升规划提升乳源瑶族自治县整体</w:t>
      </w:r>
      <w:r>
        <w:rPr>
          <w:rFonts w:ascii="宋体" w:hAnsi="宋体"/>
          <w:sz w:val="24"/>
        </w:rPr>
        <w:t>城市品质</w:t>
      </w:r>
      <w:r>
        <w:rPr>
          <w:rFonts w:hint="eastAsia" w:ascii="宋体" w:hAnsi="宋体"/>
          <w:sz w:val="24"/>
        </w:rPr>
        <w:t>，提升城市旅游竞争力</w:t>
      </w:r>
      <w:r>
        <w:rPr>
          <w:rFonts w:ascii="宋体" w:hAnsi="宋体"/>
          <w:sz w:val="24"/>
        </w:rPr>
        <w:t>。</w:t>
      </w:r>
    </w:p>
    <w:p>
      <w:pPr>
        <w:pStyle w:val="3"/>
        <w:rPr>
          <w:rFonts w:ascii="Times New Roman" w:hAnsi="Times New Roman" w:eastAsia="宋体"/>
          <w:bCs w:val="0"/>
          <w:sz w:val="24"/>
          <w:szCs w:val="24"/>
        </w:rPr>
      </w:pPr>
      <w:bookmarkStart w:id="5" w:name="_Toc477886222"/>
      <w:bookmarkStart w:id="6" w:name="_Toc477945603"/>
      <w:bookmarkStart w:id="7" w:name="_Toc477889586"/>
      <w:r>
        <w:rPr>
          <w:rFonts w:hint="eastAsia" w:ascii="Times New Roman" w:hAnsi="Times New Roman" w:eastAsia="宋体"/>
          <w:bCs w:val="0"/>
          <w:sz w:val="24"/>
          <w:szCs w:val="24"/>
        </w:rPr>
        <w:t>1.</w:t>
      </w:r>
      <w:bookmarkEnd w:id="5"/>
      <w:bookmarkEnd w:id="6"/>
      <w:bookmarkEnd w:id="7"/>
      <w:r>
        <w:rPr>
          <w:rFonts w:hint="eastAsia" w:ascii="Times New Roman" w:hAnsi="Times New Roman" w:eastAsia="宋体"/>
          <w:bCs w:val="0"/>
          <w:sz w:val="24"/>
          <w:szCs w:val="24"/>
        </w:rPr>
        <w:t>3县委召开十一届二次全会，明确提出了“加快生态发展，建设美丽乳源”的目标</w:t>
      </w:r>
    </w:p>
    <w:p>
      <w:pPr>
        <w:spacing w:line="360" w:lineRule="auto"/>
        <w:ind w:firstLine="480" w:firstLineChars="200"/>
        <w:rPr>
          <w:rFonts w:ascii="宋体" w:hAnsi="宋体"/>
          <w:sz w:val="24"/>
        </w:rPr>
      </w:pPr>
      <w:r>
        <w:rPr>
          <w:rFonts w:hint="eastAsia" w:ascii="宋体" w:hAnsi="宋体"/>
          <w:sz w:val="24"/>
        </w:rPr>
        <w:t>坚持实施“生态立县、工业强县、农业稳县、旅游旺县、科教兴县”发展战略，强力推进“生态保护、绿色工业、生态农业、特色旅游、生态人居、生态文化”六大工程，全面提升党的建设科学化水平，全力加快生态发展，建设美丽乳源。</w:t>
      </w:r>
    </w:p>
    <w:p>
      <w:pPr>
        <w:spacing w:line="360" w:lineRule="auto"/>
        <w:ind w:firstLine="480" w:firstLineChars="200"/>
        <w:rPr>
          <w:rFonts w:ascii="宋体" w:hAnsi="宋体"/>
          <w:sz w:val="24"/>
        </w:rPr>
      </w:pPr>
      <w:r>
        <w:rPr>
          <w:rFonts w:hint="eastAsia" w:ascii="宋体" w:hAnsi="宋体"/>
          <w:sz w:val="24"/>
        </w:rPr>
        <w:t>本项目将</w:t>
      </w:r>
      <w:r>
        <w:rPr>
          <w:rFonts w:ascii="宋体" w:hAnsi="宋体"/>
          <w:sz w:val="24"/>
        </w:rPr>
        <w:t>立足</w:t>
      </w:r>
      <w:r>
        <w:rPr>
          <w:rFonts w:hint="eastAsia" w:ascii="宋体" w:hAnsi="宋体"/>
          <w:sz w:val="24"/>
        </w:rPr>
        <w:t>乳源瑶族自治县</w:t>
      </w:r>
      <w:r>
        <w:rPr>
          <w:rFonts w:ascii="宋体" w:hAnsi="宋体"/>
          <w:sz w:val="24"/>
        </w:rPr>
        <w:t>实际情况</w:t>
      </w:r>
      <w:r>
        <w:rPr>
          <w:rFonts w:hint="eastAsia" w:ascii="宋体" w:hAnsi="宋体"/>
          <w:sz w:val="24"/>
        </w:rPr>
        <w:t>提出</w:t>
      </w:r>
      <w:r>
        <w:rPr>
          <w:rFonts w:ascii="宋体" w:hAnsi="宋体"/>
          <w:sz w:val="24"/>
        </w:rPr>
        <w:t>规划提升策略，推动城市环境质量持续优化，</w:t>
      </w:r>
      <w:r>
        <w:rPr>
          <w:rFonts w:hint="eastAsia" w:ascii="宋体" w:hAnsi="宋体"/>
          <w:sz w:val="24"/>
        </w:rPr>
        <w:t>市民</w:t>
      </w:r>
      <w:r>
        <w:rPr>
          <w:rFonts w:ascii="宋体" w:hAnsi="宋体"/>
          <w:sz w:val="24"/>
        </w:rPr>
        <w:t>幸福感持续增强，</w:t>
      </w:r>
      <w:r>
        <w:rPr>
          <w:rFonts w:hint="eastAsia" w:ascii="宋体" w:hAnsi="宋体"/>
          <w:sz w:val="24"/>
        </w:rPr>
        <w:t>并推动乳源全域旅游建设发展</w:t>
      </w:r>
      <w:r>
        <w:rPr>
          <w:rFonts w:ascii="宋体" w:hAnsi="宋体"/>
          <w:sz w:val="24"/>
        </w:rPr>
        <w:t>。</w:t>
      </w:r>
    </w:p>
    <w:p>
      <w:pPr>
        <w:pStyle w:val="3"/>
        <w:ind w:right="-86" w:rightChars="-41"/>
        <w:rPr>
          <w:rFonts w:ascii="宋体" w:hAnsi="宋体" w:eastAsia="宋体"/>
        </w:rPr>
      </w:pPr>
      <w:bookmarkStart w:id="8" w:name="_Toc477945609"/>
      <w:r>
        <w:rPr>
          <w:rFonts w:hint="eastAsia" w:ascii="宋体" w:hAnsi="宋体" w:eastAsia="宋体"/>
        </w:rPr>
        <w:t>2项目范围</w:t>
      </w:r>
      <w:bookmarkEnd w:id="8"/>
    </w:p>
    <w:p>
      <w:pPr>
        <w:spacing w:line="360" w:lineRule="auto"/>
        <w:ind w:firstLine="480" w:firstLineChars="200"/>
        <w:rPr>
          <w:rFonts w:ascii="宋体" w:hAnsi="宋体"/>
          <w:sz w:val="24"/>
        </w:rPr>
      </w:pPr>
      <w:r>
        <w:rPr>
          <w:rFonts w:hint="eastAsia" w:ascii="宋体" w:hAnsi="宋体"/>
          <w:sz w:val="24"/>
        </w:rPr>
        <w:t>乳源瑶族自治县位于韶关市区西部，东邻韶关市武江区，西连清远市阳山县，南毗清远英德市，北与乐昌市接壤，西北角与湖南宜章县相依。</w:t>
      </w:r>
    </w:p>
    <w:p>
      <w:pPr>
        <w:spacing w:line="360" w:lineRule="auto"/>
        <w:ind w:firstLine="480" w:firstLineChars="200"/>
        <w:rPr>
          <w:rFonts w:ascii="宋体" w:hAnsi="宋体"/>
          <w:sz w:val="24"/>
        </w:rPr>
      </w:pPr>
      <w:r>
        <w:rPr>
          <w:rFonts w:hint="eastAsia" w:ascii="宋体" w:hAnsi="宋体"/>
          <w:sz w:val="24"/>
        </w:rPr>
        <w:t>本次规划方案以县城南环路及北环路沿线重要景观节点为研究对象。乳源县城中心城区面积约为2100公顷，其中建成区面积约为1</w:t>
      </w:r>
      <w:r>
        <w:rPr>
          <w:rFonts w:ascii="宋体" w:hAnsi="宋体"/>
          <w:sz w:val="24"/>
        </w:rPr>
        <w:t>555</w:t>
      </w:r>
      <w:r>
        <w:rPr>
          <w:rFonts w:hint="eastAsia" w:ascii="宋体" w:hAnsi="宋体"/>
          <w:sz w:val="24"/>
        </w:rPr>
        <w:t>公顷，此次绿化提升面积约为</w:t>
      </w:r>
      <w:r>
        <w:rPr>
          <w:rFonts w:ascii="宋体" w:hAnsi="宋体"/>
          <w:sz w:val="24"/>
        </w:rPr>
        <w:t>545</w:t>
      </w:r>
      <w:r>
        <w:rPr>
          <w:rFonts w:hint="eastAsia" w:ascii="宋体" w:hAnsi="宋体"/>
          <w:sz w:val="24"/>
        </w:rPr>
        <w:t>公顷。</w:t>
      </w:r>
    </w:p>
    <w:p>
      <w:pPr>
        <w:jc w:val="center"/>
        <w:rPr>
          <w:rFonts w:ascii="宋体" w:hAnsi="宋体"/>
        </w:rPr>
      </w:pPr>
      <w:r>
        <w:rPr>
          <w:rFonts w:ascii="宋体" w:hAnsi="宋体"/>
          <w:sz w:val="24"/>
        </w:rPr>
        <w:drawing>
          <wp:anchor distT="0" distB="0" distL="114300" distR="114300" simplePos="0" relativeHeight="251658240" behindDoc="1" locked="0" layoutInCell="1" allowOverlap="1">
            <wp:simplePos x="0" y="0"/>
            <wp:positionH relativeFrom="column">
              <wp:posOffset>-276225</wp:posOffset>
            </wp:positionH>
            <wp:positionV relativeFrom="paragraph">
              <wp:posOffset>331470</wp:posOffset>
            </wp:positionV>
            <wp:extent cx="6137275" cy="3865245"/>
            <wp:effectExtent l="0" t="0" r="0" b="1905"/>
            <wp:wrapTight wrapText="bothSides">
              <wp:wrapPolygon>
                <wp:start x="0" y="0"/>
                <wp:lineTo x="0" y="21504"/>
                <wp:lineTo x="21522" y="21504"/>
                <wp:lineTo x="21522" y="0"/>
                <wp:lineTo x="0" y="0"/>
              </wp:wrapPolygon>
            </wp:wrapTigh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37275" cy="3865245"/>
                    </a:xfrm>
                    <a:prstGeom prst="rect">
                      <a:avLst/>
                    </a:prstGeom>
                    <a:noFill/>
                    <a:ln>
                      <a:noFill/>
                    </a:ln>
                  </pic:spPr>
                </pic:pic>
              </a:graphicData>
            </a:graphic>
          </wp:anchor>
        </w:drawing>
      </w:r>
      <w:r>
        <w:rPr>
          <w:rFonts w:hint="eastAsia" w:ascii="宋体" w:hAnsi="宋体"/>
        </w:rPr>
        <w:t>图1-1规划节点分布图</w:t>
      </w:r>
    </w:p>
    <w:p>
      <w:pPr>
        <w:pStyle w:val="3"/>
        <w:rPr>
          <w:rFonts w:ascii="宋体" w:hAnsi="宋体" w:eastAsia="宋体"/>
        </w:rPr>
      </w:pPr>
      <w:bookmarkStart w:id="9" w:name="_Toc359933759"/>
      <w:bookmarkStart w:id="10" w:name="_Toc477945611"/>
      <w:r>
        <w:rPr>
          <w:rFonts w:hint="eastAsia" w:ascii="宋体" w:hAnsi="宋体" w:eastAsia="宋体"/>
        </w:rPr>
        <w:t>3工作</w:t>
      </w:r>
      <w:bookmarkEnd w:id="9"/>
      <w:bookmarkEnd w:id="10"/>
      <w:r>
        <w:rPr>
          <w:rFonts w:hint="eastAsia" w:ascii="宋体" w:hAnsi="宋体" w:eastAsia="宋体"/>
        </w:rPr>
        <w:t>思路</w:t>
      </w:r>
    </w:p>
    <w:p>
      <w:pPr>
        <w:pStyle w:val="3"/>
        <w:spacing w:line="360" w:lineRule="auto"/>
        <w:rPr>
          <w:rFonts w:ascii="Times New Roman" w:hAnsi="Times New Roman" w:eastAsia="宋体"/>
          <w:bCs w:val="0"/>
          <w:sz w:val="24"/>
          <w:szCs w:val="24"/>
        </w:rPr>
      </w:pPr>
      <w:bookmarkStart w:id="11" w:name="_Toc477945612"/>
      <w:r>
        <w:rPr>
          <w:rFonts w:hint="eastAsia" w:ascii="Times New Roman" w:hAnsi="Times New Roman" w:eastAsia="宋体"/>
          <w:bCs w:val="0"/>
          <w:sz w:val="24"/>
          <w:szCs w:val="24"/>
        </w:rPr>
        <w:t>3.1现状调研</w:t>
      </w:r>
      <w:bookmarkEnd w:id="11"/>
    </w:p>
    <w:p>
      <w:pPr>
        <w:spacing w:line="360" w:lineRule="auto"/>
        <w:ind w:firstLine="480" w:firstLineChars="200"/>
        <w:rPr>
          <w:rFonts w:ascii="宋体" w:hAnsi="宋体"/>
        </w:rPr>
      </w:pPr>
      <w:r>
        <w:rPr>
          <w:rFonts w:hint="eastAsia" w:ascii="宋体" w:hAnsi="宋体"/>
          <w:sz w:val="24"/>
          <w:szCs w:val="24"/>
        </w:rPr>
        <w:t>通过对</w:t>
      </w:r>
      <w:r>
        <w:rPr>
          <w:rFonts w:hint="eastAsia"/>
          <w:sz w:val="24"/>
        </w:rPr>
        <w:t>乳源瑶族自治县的</w:t>
      </w:r>
      <w:r>
        <w:rPr>
          <w:rFonts w:hint="eastAsia" w:ascii="宋体" w:hAnsi="宋体"/>
          <w:sz w:val="24"/>
          <w:szCs w:val="24"/>
        </w:rPr>
        <w:t>基础条件进行分析、其中包含现状植被情况、种植土壤情况、灌溉水源情况、特色文化资源、土地权属等，采用实地调研，现场座谈、问卷调查等方法，充分了解当地居民及有关部门领导的实际诉求及县城未来的发展期望，解决乳源县山体林相单一，黄土裸露严重，绿化景观风貌欠佳等问题。</w:t>
      </w:r>
    </w:p>
    <w:p>
      <w:pPr>
        <w:pStyle w:val="3"/>
        <w:spacing w:line="360" w:lineRule="auto"/>
        <w:rPr>
          <w:rFonts w:ascii="Times New Roman" w:hAnsi="Times New Roman" w:eastAsia="宋体"/>
          <w:bCs w:val="0"/>
          <w:sz w:val="24"/>
          <w:szCs w:val="24"/>
        </w:rPr>
      </w:pPr>
      <w:bookmarkStart w:id="12" w:name="_Toc477945613"/>
      <w:r>
        <w:rPr>
          <w:rFonts w:hint="eastAsia" w:ascii="Times New Roman" w:hAnsi="Times New Roman" w:eastAsia="宋体"/>
          <w:bCs w:val="0"/>
          <w:sz w:val="24"/>
          <w:szCs w:val="24"/>
        </w:rPr>
        <w:t>3.2</w:t>
      </w:r>
      <w:bookmarkEnd w:id="12"/>
      <w:r>
        <w:rPr>
          <w:rFonts w:hint="eastAsia" w:ascii="Times New Roman" w:hAnsi="Times New Roman" w:eastAsia="宋体"/>
          <w:bCs w:val="0"/>
          <w:sz w:val="24"/>
          <w:szCs w:val="24"/>
        </w:rPr>
        <w:t>规划</w:t>
      </w:r>
      <w:r>
        <w:rPr>
          <w:rFonts w:ascii="Times New Roman" w:hAnsi="Times New Roman" w:eastAsia="宋体"/>
          <w:bCs w:val="0"/>
          <w:sz w:val="24"/>
          <w:szCs w:val="24"/>
        </w:rPr>
        <w:t>解读</w:t>
      </w:r>
    </w:p>
    <w:p>
      <w:pPr>
        <w:spacing w:after="156" w:afterLines="50" w:line="360" w:lineRule="auto"/>
        <w:ind w:firstLine="240" w:firstLineChars="100"/>
        <w:rPr>
          <w:rFonts w:ascii="宋体" w:hAnsi="宋体"/>
          <w:sz w:val="24"/>
          <w:szCs w:val="24"/>
        </w:rPr>
      </w:pPr>
      <w:r>
        <w:rPr>
          <w:rFonts w:hint="eastAsia" w:ascii="宋体" w:hAnsi="宋体"/>
          <w:sz w:val="24"/>
          <w:szCs w:val="24"/>
        </w:rPr>
        <w:t>梳理乳源县上位规划，根据规划对乳源县的发展定位，从未来县城发展的角度，如何利用本次绿化提升作为契机，小投入换取县城较大的风貌变化是本次工作的重中之重。</w:t>
      </w:r>
    </w:p>
    <w:p>
      <w:pPr>
        <w:spacing w:after="156" w:afterLines="50" w:line="360" w:lineRule="auto"/>
        <w:ind w:firstLine="240" w:firstLineChars="100"/>
        <w:rPr>
          <w:rFonts w:ascii="宋体" w:hAnsi="宋体"/>
          <w:sz w:val="24"/>
          <w:szCs w:val="24"/>
        </w:rPr>
      </w:pPr>
      <w:r>
        <w:rPr>
          <w:rFonts w:hint="eastAsia" w:ascii="宋体" w:hAnsi="宋体"/>
          <w:sz w:val="24"/>
          <w:szCs w:val="24"/>
        </w:rPr>
        <w:t>同时，在落实城市规划的各项指标基础上，落实全域旅游的规划理念，通过绿化风貌的提升，利用植物造林造景色的手法，形成景色别致，色彩斑斓的景观视觉冲击，从而带动乳源县的全域旅游发展。</w:t>
      </w:r>
    </w:p>
    <w:p>
      <w:pPr>
        <w:pStyle w:val="3"/>
        <w:spacing w:line="360" w:lineRule="auto"/>
        <w:rPr>
          <w:rFonts w:ascii="Times New Roman" w:hAnsi="Times New Roman" w:eastAsia="宋体"/>
          <w:bCs w:val="0"/>
          <w:sz w:val="24"/>
          <w:szCs w:val="24"/>
        </w:rPr>
      </w:pPr>
      <w:bookmarkStart w:id="13" w:name="_Toc477945614"/>
      <w:r>
        <w:rPr>
          <w:rFonts w:hint="eastAsia" w:ascii="Times New Roman" w:hAnsi="Times New Roman" w:eastAsia="宋体"/>
          <w:bCs w:val="0"/>
          <w:sz w:val="24"/>
          <w:szCs w:val="24"/>
        </w:rPr>
        <w:t>3.3规划</w:t>
      </w:r>
      <w:bookmarkEnd w:id="13"/>
      <w:r>
        <w:rPr>
          <w:rFonts w:hint="eastAsia" w:ascii="Times New Roman" w:hAnsi="Times New Roman" w:eastAsia="宋体"/>
          <w:bCs w:val="0"/>
          <w:sz w:val="24"/>
          <w:szCs w:val="24"/>
        </w:rPr>
        <w:t>目标及策略</w:t>
      </w:r>
    </w:p>
    <w:p>
      <w:pPr>
        <w:widowControl/>
        <w:spacing w:before="100" w:beforeAutospacing="1" w:after="100" w:afterAutospacing="1" w:line="360" w:lineRule="auto"/>
        <w:ind w:firstLine="480" w:firstLineChars="200"/>
        <w:rPr>
          <w:rFonts w:ascii="宋体" w:hAnsi="宋体"/>
          <w:sz w:val="24"/>
          <w:szCs w:val="24"/>
        </w:rPr>
      </w:pPr>
      <w:r>
        <w:rPr>
          <w:rFonts w:hint="eastAsia" w:ascii="宋体" w:hAnsi="宋体"/>
          <w:sz w:val="24"/>
          <w:szCs w:val="24"/>
        </w:rPr>
        <w:t>参考国内外优秀案例，总结经验，明确未来乳源县在绿化景观方面的发展定位及目标，结合乳源县县城发展路径以及与周边县市的旅游产业的联动，制定切实可行的规划策略及实施路径。</w:t>
      </w:r>
    </w:p>
    <w:p>
      <w:pPr>
        <w:pStyle w:val="3"/>
        <w:spacing w:line="360" w:lineRule="auto"/>
        <w:rPr>
          <w:rFonts w:ascii="Times New Roman" w:hAnsi="Times New Roman" w:eastAsia="宋体"/>
          <w:bCs w:val="0"/>
          <w:sz w:val="24"/>
          <w:szCs w:val="24"/>
        </w:rPr>
      </w:pPr>
      <w:bookmarkStart w:id="14" w:name="_Toc477945615"/>
      <w:r>
        <w:rPr>
          <w:rFonts w:hint="eastAsia" w:ascii="Times New Roman" w:hAnsi="Times New Roman" w:eastAsia="宋体"/>
          <w:bCs w:val="0"/>
          <w:sz w:val="24"/>
          <w:szCs w:val="24"/>
        </w:rPr>
        <w:t>3.4</w:t>
      </w:r>
      <w:bookmarkEnd w:id="14"/>
      <w:r>
        <w:rPr>
          <w:rFonts w:hint="eastAsia" w:ascii="Times New Roman" w:hAnsi="Times New Roman" w:eastAsia="宋体"/>
          <w:bCs w:val="0"/>
          <w:sz w:val="24"/>
          <w:szCs w:val="24"/>
        </w:rPr>
        <w:t>提升思路</w:t>
      </w:r>
    </w:p>
    <w:p>
      <w:pPr>
        <w:spacing w:line="360" w:lineRule="auto"/>
        <w:ind w:firstLine="480" w:firstLineChars="200"/>
        <w:rPr>
          <w:rFonts w:ascii="宋体" w:hAnsi="宋体"/>
          <w:sz w:val="24"/>
          <w:szCs w:val="24"/>
        </w:rPr>
      </w:pPr>
      <w:r>
        <w:rPr>
          <w:rFonts w:hint="eastAsia" w:ascii="宋体" w:hAnsi="宋体"/>
          <w:sz w:val="24"/>
          <w:szCs w:val="24"/>
        </w:rPr>
        <w:t>针对县城绿化空间存在的最主要的三种类型提出不同的规划方案：</w:t>
      </w:r>
    </w:p>
    <w:p>
      <w:pPr>
        <w:spacing w:line="360" w:lineRule="auto"/>
        <w:ind w:firstLine="480" w:firstLineChars="200"/>
        <w:rPr>
          <w:rFonts w:ascii="宋体" w:hAnsi="宋体"/>
          <w:sz w:val="24"/>
          <w:szCs w:val="24"/>
        </w:rPr>
      </w:pPr>
      <w:r>
        <w:rPr>
          <w:rFonts w:hint="eastAsia" w:ascii="宋体" w:hAnsi="宋体"/>
          <w:sz w:val="24"/>
          <w:szCs w:val="24"/>
        </w:rPr>
        <w:t>（1）对于现状黄土裸露及岩石裸露严重的区域，采用生态植草网护坡、人工草籽护坡、石笼护坡等方式进行生态修复，达到整体覆绿的效果</w:t>
      </w:r>
      <w:r>
        <w:rPr>
          <w:rFonts w:ascii="宋体" w:hAnsi="宋体"/>
          <w:sz w:val="24"/>
          <w:szCs w:val="24"/>
        </w:rPr>
        <w:t>。</w:t>
      </w:r>
      <w:r>
        <w:rPr>
          <w:rFonts w:hint="eastAsia" w:ascii="宋体" w:hAnsi="宋体"/>
          <w:sz w:val="24"/>
          <w:szCs w:val="24"/>
        </w:rPr>
        <w:t>部分重要节点可种植开花攀藤植物，如炮仗花、勒杜鹃等渲染氛围。</w:t>
      </w:r>
    </w:p>
    <w:p>
      <w:pPr>
        <w:spacing w:line="360" w:lineRule="auto"/>
        <w:ind w:firstLine="480" w:firstLineChars="200"/>
        <w:rPr>
          <w:rFonts w:ascii="宋体" w:hAnsi="宋体"/>
          <w:sz w:val="24"/>
          <w:szCs w:val="24"/>
        </w:rPr>
      </w:pPr>
      <w:r>
        <w:rPr>
          <w:rFonts w:hint="eastAsia" w:ascii="宋体" w:hAnsi="宋体"/>
          <w:sz w:val="24"/>
          <w:szCs w:val="24"/>
        </w:rPr>
        <w:t>（2）对交通区位重要、县城重要区域、对外展示效果好及种植基础条件良好（有灌溉水源、后期管养便利）的节点，采用市政绿化的标准进行打造。选取花色鲜艳的乔木作为主景树，部分节点可增加具有瑶族文化特色的雕塑景观小品，彰显乳源县的文化特征。</w:t>
      </w:r>
    </w:p>
    <w:p>
      <w:pPr>
        <w:spacing w:line="360" w:lineRule="auto"/>
        <w:ind w:firstLine="480" w:firstLineChars="200"/>
        <w:rPr>
          <w:rFonts w:ascii="宋体" w:hAnsi="宋体"/>
          <w:sz w:val="24"/>
          <w:szCs w:val="24"/>
        </w:rPr>
      </w:pPr>
      <w:r>
        <w:rPr>
          <w:rFonts w:ascii="宋体" w:hAnsi="宋体"/>
          <w:sz w:val="24"/>
          <w:szCs w:val="24"/>
        </w:rPr>
        <w:t>（</w:t>
      </w:r>
      <w:r>
        <w:rPr>
          <w:rFonts w:hint="eastAsia" w:ascii="宋体" w:hAnsi="宋体"/>
          <w:sz w:val="24"/>
          <w:szCs w:val="24"/>
        </w:rPr>
        <w:t>3</w:t>
      </w:r>
      <w:r>
        <w:rPr>
          <w:rFonts w:ascii="宋体" w:hAnsi="宋体"/>
          <w:sz w:val="24"/>
          <w:szCs w:val="24"/>
        </w:rPr>
        <w:t>）</w:t>
      </w:r>
      <w:r>
        <w:rPr>
          <w:rFonts w:hint="eastAsia" w:ascii="宋体" w:hAnsi="宋体"/>
          <w:sz w:val="24"/>
          <w:szCs w:val="24"/>
        </w:rPr>
        <w:t>乳源县城四面环山，作为县城的绿色生态屏障，目前存在林相单一，景观辨识度较差等问题。因此，本次规划将以改变乳源县整体绿化形象作为目标，在主要高速经过可视面、临近县城的山体等区域，采用小苗种植的方式种植景观开花及色叶植物。利用3-5年的种植期，多次补给的方式形成较大规模的山林景观。</w:t>
      </w:r>
    </w:p>
    <w:p>
      <w:pPr>
        <w:pStyle w:val="3"/>
        <w:spacing w:line="360" w:lineRule="auto"/>
        <w:rPr>
          <w:rFonts w:ascii="Times New Roman" w:hAnsi="Times New Roman" w:eastAsia="宋体"/>
          <w:bCs w:val="0"/>
          <w:sz w:val="24"/>
          <w:szCs w:val="24"/>
        </w:rPr>
      </w:pPr>
      <w:r>
        <w:rPr>
          <w:rFonts w:ascii="Times New Roman" w:hAnsi="Times New Roman" w:eastAsia="宋体"/>
          <w:bCs w:val="0"/>
          <w:sz w:val="24"/>
          <w:szCs w:val="24"/>
        </w:rPr>
        <w:t>3</w:t>
      </w:r>
      <w:r>
        <w:rPr>
          <w:rFonts w:hint="eastAsia" w:ascii="Times New Roman" w:hAnsi="Times New Roman" w:eastAsia="宋体"/>
          <w:bCs w:val="0"/>
          <w:sz w:val="24"/>
          <w:szCs w:val="24"/>
        </w:rPr>
        <w:t>.5实施项目库及保障措施</w:t>
      </w:r>
    </w:p>
    <w:p>
      <w:pPr>
        <w:spacing w:line="360" w:lineRule="auto"/>
        <w:ind w:firstLine="480" w:firstLineChars="200"/>
        <w:rPr>
          <w:rFonts w:ascii="宋体" w:hAnsi="宋体"/>
          <w:sz w:val="24"/>
          <w:szCs w:val="24"/>
        </w:rPr>
      </w:pPr>
      <w:r>
        <w:rPr>
          <w:rFonts w:hint="eastAsia" w:ascii="宋体" w:hAnsi="宋体"/>
          <w:sz w:val="24"/>
          <w:szCs w:val="24"/>
        </w:rPr>
        <w:t>为了更有效的落实规划方案，我们将提出详细的近、中、远期三期建设项目库。明确各项项目的建设时序、建设规模、实施主体及工程投资等内容。</w:t>
      </w:r>
    </w:p>
    <w:p>
      <w:pPr>
        <w:spacing w:line="360" w:lineRule="auto"/>
        <w:ind w:firstLine="480" w:firstLineChars="200"/>
        <w:rPr>
          <w:rFonts w:ascii="宋体" w:hAnsi="宋体"/>
          <w:sz w:val="24"/>
          <w:szCs w:val="24"/>
          <w:highlight w:val="yellow"/>
        </w:rPr>
      </w:pPr>
      <w:r>
        <w:rPr>
          <w:rFonts w:hint="eastAsia" w:ascii="宋体" w:hAnsi="宋体"/>
          <w:sz w:val="24"/>
          <w:szCs w:val="24"/>
        </w:rPr>
        <w:t>最后根据规划方案划分出的三种不同类型的绿化提升方式，提出相应的管养标准及管养技术要求，达到长远规划，精细化管理的目标。</w:t>
      </w:r>
    </w:p>
    <w:p>
      <w:pPr>
        <w:pStyle w:val="3"/>
        <w:ind w:right="-86" w:rightChars="-41"/>
        <w:rPr>
          <w:rFonts w:ascii="宋体" w:hAnsi="宋体" w:eastAsia="宋体"/>
        </w:rPr>
      </w:pPr>
      <w:bookmarkStart w:id="15" w:name="_Toc359933760"/>
      <w:bookmarkStart w:id="16" w:name="_Toc477945617"/>
      <w:r>
        <w:rPr>
          <w:rFonts w:hint="eastAsia" w:ascii="宋体" w:hAnsi="宋体" w:eastAsia="宋体"/>
        </w:rPr>
        <w:t>4项目</w:t>
      </w:r>
      <w:bookmarkEnd w:id="15"/>
      <w:bookmarkEnd w:id="16"/>
      <w:r>
        <w:rPr>
          <w:rFonts w:hint="eastAsia" w:ascii="宋体" w:hAnsi="宋体" w:eastAsia="宋体"/>
        </w:rPr>
        <w:t>计划安排</w:t>
      </w:r>
    </w:p>
    <w:p>
      <w:pPr>
        <w:pStyle w:val="3"/>
        <w:rPr>
          <w:rFonts w:ascii="Times New Roman" w:hAnsi="Times New Roman" w:eastAsia="宋体"/>
          <w:bCs w:val="0"/>
          <w:sz w:val="24"/>
          <w:szCs w:val="24"/>
        </w:rPr>
      </w:pPr>
      <w:bookmarkStart w:id="17" w:name="_Toc477945619"/>
      <w:r>
        <w:rPr>
          <w:rFonts w:hint="eastAsia" w:ascii="Times New Roman" w:hAnsi="Times New Roman" w:eastAsia="宋体"/>
          <w:bCs w:val="0"/>
          <w:sz w:val="24"/>
          <w:szCs w:val="24"/>
        </w:rPr>
        <w:t>4.1</w:t>
      </w:r>
      <w:bookmarkEnd w:id="17"/>
      <w:r>
        <w:rPr>
          <w:rFonts w:hint="eastAsia" w:ascii="Times New Roman" w:hAnsi="Times New Roman" w:eastAsia="宋体"/>
          <w:bCs w:val="0"/>
          <w:sz w:val="24"/>
          <w:szCs w:val="24"/>
        </w:rPr>
        <w:t>时间安排</w:t>
      </w:r>
    </w:p>
    <w:p>
      <w:pPr>
        <w:spacing w:before="93" w:beforeLines="30" w:line="360" w:lineRule="auto"/>
        <w:rPr>
          <w:sz w:val="24"/>
          <w:szCs w:val="24"/>
        </w:rPr>
      </w:pPr>
      <w:r>
        <w:rPr>
          <w:rFonts w:hint="eastAsia"/>
          <w:sz w:val="24"/>
          <w:szCs w:val="24"/>
        </w:rPr>
        <w:t>本项规划研究预期总时间控制在1个月，总体安排建议如下：</w:t>
      </w:r>
    </w:p>
    <w:tbl>
      <w:tblPr>
        <w:tblStyle w:val="15"/>
        <w:tblpPr w:leftFromText="180" w:rightFromText="180" w:vertAnchor="text" w:horzAnchor="margin" w:tblpX="-102" w:tblpY="145"/>
        <w:tblW w:w="93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627"/>
        <w:gridCol w:w="6062"/>
        <w:gridCol w:w="9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675" w:type="dxa"/>
            <w:tcBorders>
              <w:top w:val="single" w:color="auto" w:sz="4" w:space="0"/>
              <w:left w:val="single" w:color="auto" w:sz="4" w:space="0"/>
              <w:bottom w:val="single" w:color="auto" w:sz="4" w:space="0"/>
              <w:right w:val="nil"/>
            </w:tcBorders>
            <w:shd w:val="clear" w:color="auto" w:fill="D8D8D8" w:themeFill="background1" w:themeFillShade="D9"/>
            <w:vAlign w:val="center"/>
          </w:tcPr>
          <w:p>
            <w:pPr>
              <w:jc w:val="center"/>
              <w:rPr>
                <w:b/>
                <w:szCs w:val="21"/>
              </w:rPr>
            </w:pPr>
            <w:r>
              <w:rPr>
                <w:rFonts w:hint="eastAsia"/>
                <w:b/>
                <w:szCs w:val="21"/>
              </w:rPr>
              <w:t>序号</w:t>
            </w:r>
          </w:p>
        </w:tc>
        <w:tc>
          <w:tcPr>
            <w:tcW w:w="162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jc w:val="center"/>
              <w:rPr>
                <w:b/>
                <w:szCs w:val="21"/>
              </w:rPr>
            </w:pPr>
            <w:r>
              <w:rPr>
                <w:rFonts w:hint="eastAsia"/>
                <w:b/>
                <w:szCs w:val="21"/>
              </w:rPr>
              <w:t>阶段</w:t>
            </w:r>
          </w:p>
        </w:tc>
        <w:tc>
          <w:tcPr>
            <w:tcW w:w="6062"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jc w:val="center"/>
              <w:rPr>
                <w:b/>
                <w:szCs w:val="21"/>
              </w:rPr>
            </w:pPr>
            <w:r>
              <w:rPr>
                <w:rFonts w:hint="eastAsia"/>
                <w:b/>
                <w:szCs w:val="21"/>
              </w:rPr>
              <w:t>工作内容</w:t>
            </w:r>
          </w:p>
        </w:tc>
        <w:tc>
          <w:tcPr>
            <w:tcW w:w="95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jc w:val="center"/>
              <w:rPr>
                <w:b/>
                <w:szCs w:val="21"/>
              </w:rPr>
            </w:pPr>
            <w:r>
              <w:rPr>
                <w:rFonts w:hint="eastAsia"/>
                <w:b/>
                <w:szCs w:val="21"/>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2" w:hRule="atLeast"/>
        </w:trPr>
        <w:tc>
          <w:tcPr>
            <w:tcW w:w="675" w:type="dxa"/>
            <w:tcBorders>
              <w:top w:val="single" w:color="auto" w:sz="4" w:space="0"/>
              <w:left w:val="single" w:color="auto" w:sz="4" w:space="0"/>
              <w:bottom w:val="single" w:color="auto" w:sz="4" w:space="0"/>
              <w:right w:val="nil"/>
            </w:tcBorders>
            <w:shd w:val="clear" w:color="auto" w:fill="auto"/>
            <w:vAlign w:val="center"/>
          </w:tcPr>
          <w:p>
            <w:pPr>
              <w:adjustRightInd w:val="0"/>
              <w:snapToGrid w:val="0"/>
              <w:spacing w:line="276" w:lineRule="auto"/>
              <w:jc w:val="center"/>
              <w:rPr>
                <w:szCs w:val="21"/>
              </w:rPr>
            </w:pPr>
            <w:r>
              <w:rPr>
                <w:rFonts w:hint="eastAsia"/>
                <w:szCs w:val="21"/>
              </w:rPr>
              <w:t>1</w:t>
            </w:r>
          </w:p>
        </w:tc>
        <w:tc>
          <w:tcPr>
            <w:tcW w:w="1627"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现状调研阶段及初步构思</w:t>
            </w:r>
          </w:p>
        </w:tc>
        <w:tc>
          <w:tcPr>
            <w:tcW w:w="6062"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left"/>
              <w:rPr>
                <w:szCs w:val="21"/>
              </w:rPr>
            </w:pPr>
            <w:r>
              <w:rPr>
                <w:rFonts w:hint="eastAsia"/>
                <w:szCs w:val="21"/>
              </w:rPr>
              <w:t>包括资料收集、相关调研、整理分析信息资料等工作。</w:t>
            </w:r>
          </w:p>
        </w:tc>
        <w:tc>
          <w:tcPr>
            <w:tcW w:w="958"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1周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4" w:hRule="atLeast"/>
        </w:trPr>
        <w:tc>
          <w:tcPr>
            <w:tcW w:w="675" w:type="dxa"/>
            <w:tcBorders>
              <w:left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2</w:t>
            </w:r>
          </w:p>
        </w:tc>
        <w:tc>
          <w:tcPr>
            <w:tcW w:w="1627"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初步成果</w:t>
            </w:r>
          </w:p>
        </w:tc>
        <w:tc>
          <w:tcPr>
            <w:tcW w:w="6062"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left"/>
              <w:rPr>
                <w:szCs w:val="21"/>
              </w:rPr>
            </w:pPr>
            <w:r>
              <w:rPr>
                <w:rFonts w:hint="eastAsia"/>
                <w:szCs w:val="21"/>
              </w:rPr>
              <w:t>结合工作内容，提出项目目标及定位、具体规划建设策略等，形成PPT汇报文件，进行沟通讨论。</w:t>
            </w:r>
          </w:p>
        </w:tc>
        <w:tc>
          <w:tcPr>
            <w:tcW w:w="958" w:type="dxa"/>
            <w:tcBorders>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1周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3" w:hRule="atLeast"/>
        </w:trPr>
        <w:tc>
          <w:tcPr>
            <w:tcW w:w="675" w:type="dxa"/>
            <w:tcBorders>
              <w:left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3</w:t>
            </w:r>
          </w:p>
        </w:tc>
        <w:tc>
          <w:tcPr>
            <w:tcW w:w="1627"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中期成果</w:t>
            </w:r>
          </w:p>
        </w:tc>
        <w:tc>
          <w:tcPr>
            <w:tcW w:w="6062"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left"/>
              <w:rPr>
                <w:szCs w:val="21"/>
              </w:rPr>
            </w:pPr>
            <w:r>
              <w:rPr>
                <w:rFonts w:hint="eastAsia"/>
                <w:szCs w:val="21"/>
              </w:rPr>
              <w:t>深化研究方案，根据初步成果甲方意见进行修改，提交中期成果。</w:t>
            </w:r>
          </w:p>
        </w:tc>
        <w:tc>
          <w:tcPr>
            <w:tcW w:w="958"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1周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trPr>
        <w:tc>
          <w:tcPr>
            <w:tcW w:w="675" w:type="dxa"/>
            <w:tcBorders>
              <w:left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4</w:t>
            </w:r>
          </w:p>
        </w:tc>
        <w:tc>
          <w:tcPr>
            <w:tcW w:w="1627"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最终成果</w:t>
            </w:r>
          </w:p>
        </w:tc>
        <w:tc>
          <w:tcPr>
            <w:tcW w:w="6062"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rPr>
                <w:szCs w:val="21"/>
              </w:rPr>
            </w:pPr>
            <w:r>
              <w:rPr>
                <w:rFonts w:hint="eastAsia"/>
                <w:szCs w:val="21"/>
              </w:rPr>
              <w:t>根据最终意见，修改完善形成项目最终成果。</w:t>
            </w:r>
          </w:p>
        </w:tc>
        <w:tc>
          <w:tcPr>
            <w:tcW w:w="958"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jc w:val="center"/>
              <w:rPr>
                <w:szCs w:val="21"/>
              </w:rPr>
            </w:pPr>
            <w:r>
              <w:rPr>
                <w:rFonts w:hint="eastAsia"/>
                <w:szCs w:val="21"/>
              </w:rPr>
              <w:t>1周</w:t>
            </w:r>
          </w:p>
        </w:tc>
      </w:tr>
    </w:tbl>
    <w:p/>
    <w:p>
      <w:pPr>
        <w:pStyle w:val="3"/>
        <w:rPr>
          <w:rFonts w:ascii="Times New Roman" w:hAnsi="Times New Roman" w:eastAsia="宋体"/>
          <w:bCs w:val="0"/>
          <w:sz w:val="24"/>
          <w:szCs w:val="24"/>
        </w:rPr>
      </w:pPr>
      <w:bookmarkStart w:id="18" w:name="_Toc359933762"/>
      <w:bookmarkStart w:id="19" w:name="_Toc477945621"/>
      <w:r>
        <w:rPr>
          <w:rFonts w:hint="eastAsia" w:ascii="Times New Roman" w:hAnsi="Times New Roman" w:eastAsia="宋体"/>
          <w:bCs w:val="0"/>
          <w:sz w:val="24"/>
          <w:szCs w:val="24"/>
        </w:rPr>
        <w:t>4.2人员安排</w:t>
      </w:r>
    </w:p>
    <w:bookmarkEnd w:id="18"/>
    <w:bookmarkEnd w:id="19"/>
    <w:p>
      <w:pPr>
        <w:spacing w:before="93" w:beforeLines="30" w:line="360" w:lineRule="auto"/>
        <w:ind w:firstLine="480" w:firstLineChars="200"/>
        <w:rPr>
          <w:sz w:val="24"/>
          <w:szCs w:val="24"/>
        </w:rPr>
      </w:pPr>
      <w:r>
        <w:rPr>
          <w:rFonts w:hint="eastAsia"/>
          <w:sz w:val="24"/>
          <w:szCs w:val="24"/>
        </w:rPr>
        <w:t>为保证本项目高质量完成，由所内领导及负责人牵头，在院领导和多位高级工程师指导下进行统筹安排，结合我司各类专业技术人才，形成一支富有经验和创造力的规划研究团队，为项目提供高起点、广视角的设计服务。主要技术人员名单如下：</w:t>
      </w:r>
    </w:p>
    <w:p>
      <w:pPr>
        <w:spacing w:line="276" w:lineRule="auto"/>
        <w:jc w:val="center"/>
        <w:rPr>
          <w:rFonts w:ascii="宋体" w:hAnsi="宋体"/>
        </w:rPr>
      </w:pPr>
      <w:r>
        <w:rPr>
          <w:rFonts w:hint="eastAsia" w:ascii="宋体" w:hAnsi="宋体"/>
        </w:rPr>
        <w:t>表1-1项目参与人员名单</w:t>
      </w:r>
    </w:p>
    <w:tbl>
      <w:tblPr>
        <w:tblStyle w:val="15"/>
        <w:tblpPr w:leftFromText="180" w:rightFromText="180" w:vertAnchor="text" w:horzAnchor="margin" w:tblpXSpec="center" w:tblpY="158"/>
        <w:tblW w:w="85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1"/>
        <w:gridCol w:w="1067"/>
        <w:gridCol w:w="1134"/>
        <w:gridCol w:w="2551"/>
        <w:gridCol w:w="3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blHeader/>
        </w:trPr>
        <w:tc>
          <w:tcPr>
            <w:tcW w:w="601" w:type="dxa"/>
            <w:tcBorders>
              <w:top w:val="single" w:color="auto" w:sz="4" w:space="0"/>
              <w:left w:val="single" w:color="auto" w:sz="4" w:space="0"/>
              <w:bottom w:val="single" w:color="auto" w:sz="4" w:space="0"/>
              <w:right w:val="nil"/>
            </w:tcBorders>
            <w:shd w:val="clear" w:color="auto" w:fill="D8D8D8" w:themeFill="background1" w:themeFillShade="D9"/>
            <w:vAlign w:val="center"/>
          </w:tcPr>
          <w:p>
            <w:pPr>
              <w:jc w:val="center"/>
              <w:rPr>
                <w:b/>
                <w:szCs w:val="21"/>
              </w:rPr>
            </w:pPr>
            <w:r>
              <w:rPr>
                <w:rFonts w:hint="eastAsia"/>
                <w:b/>
                <w:szCs w:val="21"/>
              </w:rPr>
              <w:t>序号</w:t>
            </w:r>
          </w:p>
        </w:tc>
        <w:tc>
          <w:tcPr>
            <w:tcW w:w="106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jc w:val="center"/>
              <w:rPr>
                <w:b/>
                <w:szCs w:val="21"/>
              </w:rPr>
            </w:pPr>
            <w:r>
              <w:rPr>
                <w:rFonts w:hint="eastAsia"/>
                <w:b/>
                <w:szCs w:val="21"/>
              </w:rPr>
              <w:t>姓名</w:t>
            </w:r>
          </w:p>
        </w:tc>
        <w:tc>
          <w:tcPr>
            <w:tcW w:w="1134" w:type="dxa"/>
            <w:tcBorders>
              <w:top w:val="single" w:color="auto" w:sz="4" w:space="0"/>
              <w:left w:val="single" w:color="auto" w:sz="4" w:space="0"/>
              <w:bottom w:val="single" w:color="auto" w:sz="4" w:space="0"/>
              <w:right w:val="nil"/>
            </w:tcBorders>
            <w:shd w:val="clear" w:color="auto" w:fill="D8D8D8" w:themeFill="background1" w:themeFillShade="D9"/>
            <w:vAlign w:val="center"/>
          </w:tcPr>
          <w:p>
            <w:pPr>
              <w:pStyle w:val="33"/>
              <w:adjustRightInd w:val="0"/>
              <w:snapToGrid w:val="0"/>
              <w:ind w:firstLine="0" w:firstLineChars="0"/>
              <w:jc w:val="center"/>
              <w:rPr>
                <w:rFonts w:ascii="宋体" w:hAnsi="宋体"/>
                <w:b/>
                <w:szCs w:val="21"/>
              </w:rPr>
            </w:pPr>
            <w:r>
              <w:rPr>
                <w:rFonts w:hint="eastAsia" w:ascii="宋体" w:hAnsi="宋体"/>
                <w:b/>
                <w:szCs w:val="21"/>
              </w:rPr>
              <w:t>专业</w:t>
            </w:r>
          </w:p>
        </w:tc>
        <w:tc>
          <w:tcPr>
            <w:tcW w:w="2551"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jc w:val="center"/>
              <w:rPr>
                <w:b/>
                <w:szCs w:val="21"/>
              </w:rPr>
            </w:pPr>
            <w:r>
              <w:rPr>
                <w:rFonts w:hint="eastAsia"/>
                <w:b/>
                <w:szCs w:val="21"/>
              </w:rPr>
              <w:t>职称</w:t>
            </w:r>
          </w:p>
        </w:tc>
        <w:tc>
          <w:tcPr>
            <w:tcW w:w="3220"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jc w:val="center"/>
              <w:rPr>
                <w:b/>
                <w:szCs w:val="21"/>
              </w:rPr>
            </w:pPr>
            <w:r>
              <w:rPr>
                <w:rFonts w:hint="eastAsia"/>
                <w:b/>
                <w:szCs w:val="21"/>
              </w:rPr>
              <w:t>承担职务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601" w:type="dxa"/>
            <w:tcBorders>
              <w:top w:val="single" w:color="auto" w:sz="4" w:space="0"/>
              <w:left w:val="single" w:color="auto" w:sz="4" w:space="0"/>
              <w:bottom w:val="single" w:color="auto" w:sz="4" w:space="0"/>
              <w:right w:val="nil"/>
            </w:tcBorders>
            <w:vAlign w:val="bottom"/>
          </w:tcPr>
          <w:p>
            <w:pPr>
              <w:adjustRightInd w:val="0"/>
              <w:snapToGrid w:val="0"/>
              <w:jc w:val="center"/>
              <w:rPr>
                <w:rFonts w:ascii="Times New Roman" w:hAnsi="Times New Roman"/>
                <w:szCs w:val="21"/>
              </w:rPr>
            </w:pPr>
            <w:r>
              <w:rPr>
                <w:rFonts w:hint="eastAsia" w:ascii="Times New Roman" w:hAnsi="Times New Roman"/>
                <w:szCs w:val="21"/>
              </w:rPr>
              <w:t>01</w:t>
            </w:r>
          </w:p>
        </w:tc>
        <w:tc>
          <w:tcPr>
            <w:tcW w:w="106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zCs w:val="21"/>
              </w:rPr>
            </w:pPr>
            <w:r>
              <w:rPr>
                <w:rFonts w:hint="eastAsia"/>
                <w:szCs w:val="21"/>
              </w:rPr>
              <w:t>孟丹</w:t>
            </w:r>
          </w:p>
        </w:tc>
        <w:tc>
          <w:tcPr>
            <w:tcW w:w="1134" w:type="dxa"/>
            <w:tcBorders>
              <w:top w:val="single" w:color="auto" w:sz="4" w:space="0"/>
              <w:left w:val="single" w:color="auto" w:sz="4" w:space="0"/>
              <w:bottom w:val="single" w:color="auto" w:sz="4" w:space="0"/>
              <w:right w:val="nil"/>
            </w:tcBorders>
            <w:shd w:val="clear" w:color="auto" w:fill="auto"/>
            <w:vAlign w:val="bottom"/>
          </w:tcPr>
          <w:p>
            <w:pPr>
              <w:pStyle w:val="33"/>
              <w:adjustRightInd w:val="0"/>
              <w:snapToGrid w:val="0"/>
              <w:ind w:firstLine="0" w:firstLineChars="0"/>
              <w:jc w:val="center"/>
              <w:rPr>
                <w:rFonts w:ascii="宋体" w:hAnsi="宋体"/>
                <w:szCs w:val="21"/>
              </w:rPr>
            </w:pPr>
            <w:r>
              <w:rPr>
                <w:rFonts w:hint="eastAsia" w:ascii="宋体" w:hAnsi="宋体"/>
                <w:szCs w:val="21"/>
              </w:rPr>
              <w:t>城市规划</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tabs>
                <w:tab w:val="left" w:pos="580"/>
              </w:tabs>
              <w:jc w:val="center"/>
              <w:rPr>
                <w:szCs w:val="21"/>
              </w:rPr>
            </w:pPr>
            <w:r>
              <w:rPr>
                <w:rFonts w:hint="eastAsia"/>
                <w:szCs w:val="21"/>
              </w:rPr>
              <w:t>高级工程师/注册规划师</w:t>
            </w:r>
          </w:p>
        </w:tc>
        <w:tc>
          <w:tcPr>
            <w:tcW w:w="32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3"/>
              <w:adjustRightInd w:val="0"/>
              <w:snapToGrid w:val="0"/>
              <w:ind w:firstLine="0" w:firstLineChars="0"/>
              <w:jc w:val="center"/>
              <w:rPr>
                <w:rFonts w:ascii="宋体" w:hAnsi="宋体"/>
                <w:szCs w:val="21"/>
              </w:rPr>
            </w:pPr>
            <w:r>
              <w:rPr>
                <w:rFonts w:hint="eastAsia" w:ascii="宋体" w:hAnsi="宋体"/>
                <w:szCs w:val="21"/>
              </w:rPr>
              <w:t>设计总监/技术负责人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601" w:type="dxa"/>
            <w:tcBorders>
              <w:top w:val="single" w:color="auto" w:sz="4" w:space="0"/>
              <w:left w:val="single" w:color="auto" w:sz="4" w:space="0"/>
              <w:bottom w:val="single" w:color="auto" w:sz="4" w:space="0"/>
              <w:right w:val="nil"/>
            </w:tcBorders>
            <w:vAlign w:val="bottom"/>
          </w:tcPr>
          <w:p>
            <w:pPr>
              <w:adjustRightInd w:val="0"/>
              <w:snapToGrid w:val="0"/>
              <w:jc w:val="center"/>
              <w:rPr>
                <w:rFonts w:ascii="Times New Roman" w:hAnsi="Times New Roman"/>
                <w:szCs w:val="21"/>
              </w:rPr>
            </w:pPr>
            <w:r>
              <w:rPr>
                <w:rFonts w:hint="eastAsia" w:ascii="Times New Roman" w:hAnsi="Times New Roman"/>
                <w:szCs w:val="21"/>
              </w:rPr>
              <w:t>02</w:t>
            </w:r>
          </w:p>
        </w:tc>
        <w:tc>
          <w:tcPr>
            <w:tcW w:w="106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zCs w:val="21"/>
              </w:rPr>
            </w:pPr>
            <w:r>
              <w:rPr>
                <w:rFonts w:hint="eastAsia"/>
                <w:szCs w:val="21"/>
              </w:rPr>
              <w:t>张留昆</w:t>
            </w:r>
          </w:p>
        </w:tc>
        <w:tc>
          <w:tcPr>
            <w:tcW w:w="1134" w:type="dxa"/>
            <w:tcBorders>
              <w:top w:val="single" w:color="auto" w:sz="4" w:space="0"/>
              <w:left w:val="single" w:color="auto" w:sz="4" w:space="0"/>
              <w:bottom w:val="single" w:color="auto" w:sz="4" w:space="0"/>
              <w:right w:val="nil"/>
            </w:tcBorders>
            <w:shd w:val="clear" w:color="auto" w:fill="auto"/>
            <w:vAlign w:val="bottom"/>
          </w:tcPr>
          <w:p>
            <w:pPr>
              <w:pStyle w:val="33"/>
              <w:adjustRightInd w:val="0"/>
              <w:snapToGrid w:val="0"/>
              <w:ind w:firstLine="0" w:firstLineChars="0"/>
              <w:jc w:val="center"/>
              <w:rPr>
                <w:rFonts w:ascii="宋体" w:hAnsi="宋体"/>
                <w:szCs w:val="21"/>
              </w:rPr>
            </w:pPr>
            <w:r>
              <w:rPr>
                <w:rFonts w:hint="eastAsia" w:ascii="宋体" w:hAnsi="宋体"/>
                <w:szCs w:val="21"/>
              </w:rPr>
              <w:t>城市规划</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tabs>
                <w:tab w:val="left" w:pos="580"/>
              </w:tabs>
              <w:jc w:val="center"/>
              <w:rPr>
                <w:szCs w:val="21"/>
              </w:rPr>
            </w:pPr>
            <w:r>
              <w:rPr>
                <w:rFonts w:hint="eastAsia"/>
                <w:szCs w:val="21"/>
              </w:rPr>
              <w:t>高级工程师/注册规划师</w:t>
            </w:r>
          </w:p>
        </w:tc>
        <w:tc>
          <w:tcPr>
            <w:tcW w:w="32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3"/>
              <w:adjustRightInd w:val="0"/>
              <w:snapToGrid w:val="0"/>
              <w:ind w:firstLine="0" w:firstLineChars="0"/>
              <w:jc w:val="center"/>
              <w:rPr>
                <w:rFonts w:ascii="宋体" w:hAnsi="宋体"/>
                <w:szCs w:val="21"/>
              </w:rPr>
            </w:pPr>
            <w:r>
              <w:rPr>
                <w:rFonts w:hint="eastAsia" w:ascii="宋体" w:hAnsi="宋体"/>
                <w:szCs w:val="21"/>
              </w:rPr>
              <w:t>总规划师/技术负责人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601" w:type="dxa"/>
            <w:tcBorders>
              <w:top w:val="single" w:color="auto" w:sz="4" w:space="0"/>
              <w:left w:val="single" w:color="auto" w:sz="4" w:space="0"/>
              <w:bottom w:val="single" w:color="auto" w:sz="4" w:space="0"/>
              <w:right w:val="nil"/>
            </w:tcBorders>
            <w:vAlign w:val="bottom"/>
          </w:tcPr>
          <w:p>
            <w:pPr>
              <w:adjustRightInd w:val="0"/>
              <w:snapToGrid w:val="0"/>
              <w:jc w:val="center"/>
              <w:rPr>
                <w:rFonts w:ascii="Times New Roman" w:hAnsi="Times New Roman"/>
                <w:szCs w:val="21"/>
              </w:rPr>
            </w:pPr>
            <w:r>
              <w:rPr>
                <w:rFonts w:hint="eastAsia" w:ascii="Times New Roman" w:hAnsi="Times New Roman"/>
                <w:szCs w:val="21"/>
              </w:rPr>
              <w:t>03</w:t>
            </w:r>
          </w:p>
        </w:tc>
        <w:tc>
          <w:tcPr>
            <w:tcW w:w="106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zCs w:val="21"/>
              </w:rPr>
            </w:pPr>
            <w:r>
              <w:rPr>
                <w:rFonts w:hint="eastAsia"/>
                <w:szCs w:val="21"/>
              </w:rPr>
              <w:t>黄金</w:t>
            </w:r>
          </w:p>
        </w:tc>
        <w:tc>
          <w:tcPr>
            <w:tcW w:w="1134" w:type="dxa"/>
            <w:tcBorders>
              <w:top w:val="single" w:color="auto" w:sz="4" w:space="0"/>
              <w:left w:val="single" w:color="auto" w:sz="4" w:space="0"/>
              <w:bottom w:val="single" w:color="auto" w:sz="4" w:space="0"/>
              <w:right w:val="nil"/>
            </w:tcBorders>
            <w:shd w:val="clear" w:color="auto" w:fill="auto"/>
            <w:vAlign w:val="bottom"/>
          </w:tcPr>
          <w:p>
            <w:pPr>
              <w:pStyle w:val="33"/>
              <w:adjustRightInd w:val="0"/>
              <w:snapToGrid w:val="0"/>
              <w:ind w:firstLine="0" w:firstLineChars="0"/>
              <w:jc w:val="center"/>
              <w:rPr>
                <w:rFonts w:ascii="宋体" w:hAnsi="宋体"/>
                <w:szCs w:val="21"/>
              </w:rPr>
            </w:pPr>
            <w:r>
              <w:rPr>
                <w:rFonts w:hint="eastAsia" w:ascii="宋体" w:hAnsi="宋体"/>
                <w:szCs w:val="21"/>
              </w:rPr>
              <w:t>城市规划</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jc w:val="center"/>
              <w:rPr>
                <w:szCs w:val="21"/>
              </w:rPr>
            </w:pPr>
            <w:r>
              <w:rPr>
                <w:rFonts w:hint="eastAsia"/>
                <w:szCs w:val="21"/>
              </w:rPr>
              <w:t>高级工程师/注册规划师</w:t>
            </w:r>
          </w:p>
        </w:tc>
        <w:tc>
          <w:tcPr>
            <w:tcW w:w="32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3"/>
              <w:adjustRightInd w:val="0"/>
              <w:snapToGrid w:val="0"/>
              <w:ind w:firstLine="0" w:firstLineChars="0"/>
              <w:jc w:val="center"/>
              <w:rPr>
                <w:rFonts w:ascii="宋体" w:hAnsi="宋体"/>
                <w:szCs w:val="21"/>
              </w:rPr>
            </w:pPr>
            <w:r>
              <w:rPr>
                <w:rFonts w:hint="eastAsia" w:ascii="宋体" w:hAnsi="宋体"/>
                <w:szCs w:val="21"/>
              </w:rPr>
              <w:t>副总规划师/规划主要参与人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601" w:type="dxa"/>
            <w:tcBorders>
              <w:top w:val="single" w:color="auto" w:sz="4" w:space="0"/>
              <w:left w:val="single" w:color="auto" w:sz="4" w:space="0"/>
              <w:bottom w:val="single" w:color="auto" w:sz="4" w:space="0"/>
              <w:right w:val="nil"/>
            </w:tcBorders>
            <w:vAlign w:val="bottom"/>
          </w:tcPr>
          <w:p>
            <w:pPr>
              <w:adjustRightInd w:val="0"/>
              <w:snapToGrid w:val="0"/>
              <w:jc w:val="center"/>
              <w:rPr>
                <w:rFonts w:ascii="Times New Roman" w:hAnsi="Times New Roman"/>
                <w:szCs w:val="21"/>
              </w:rPr>
            </w:pPr>
            <w:r>
              <w:rPr>
                <w:rFonts w:hint="eastAsia" w:ascii="Times New Roman" w:hAnsi="Times New Roman"/>
                <w:szCs w:val="21"/>
              </w:rPr>
              <w:t>04</w:t>
            </w:r>
          </w:p>
        </w:tc>
        <w:tc>
          <w:tcPr>
            <w:tcW w:w="106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zCs w:val="21"/>
              </w:rPr>
            </w:pPr>
            <w:r>
              <w:rPr>
                <w:rFonts w:hint="eastAsia"/>
                <w:szCs w:val="21"/>
              </w:rPr>
              <w:t>熊先</w:t>
            </w:r>
            <w:r>
              <w:rPr>
                <w:szCs w:val="21"/>
              </w:rPr>
              <w:t>华</w:t>
            </w:r>
          </w:p>
        </w:tc>
        <w:tc>
          <w:tcPr>
            <w:tcW w:w="1134" w:type="dxa"/>
            <w:tcBorders>
              <w:top w:val="single" w:color="auto" w:sz="4" w:space="0"/>
              <w:left w:val="single" w:color="auto" w:sz="4" w:space="0"/>
              <w:bottom w:val="single" w:color="auto" w:sz="4" w:space="0"/>
              <w:right w:val="nil"/>
            </w:tcBorders>
            <w:shd w:val="clear" w:color="auto" w:fill="auto"/>
            <w:vAlign w:val="bottom"/>
          </w:tcPr>
          <w:p>
            <w:pPr>
              <w:pStyle w:val="33"/>
              <w:adjustRightInd w:val="0"/>
              <w:snapToGrid w:val="0"/>
              <w:ind w:firstLine="0" w:firstLineChars="0"/>
              <w:jc w:val="center"/>
              <w:rPr>
                <w:rFonts w:ascii="宋体" w:hAnsi="宋体"/>
                <w:szCs w:val="21"/>
              </w:rPr>
            </w:pPr>
            <w:r>
              <w:rPr>
                <w:rFonts w:hint="eastAsia" w:ascii="宋体" w:hAnsi="宋体"/>
                <w:szCs w:val="21"/>
              </w:rPr>
              <w:t>城市规划</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tabs>
                <w:tab w:val="left" w:pos="580"/>
              </w:tabs>
              <w:jc w:val="center"/>
              <w:rPr>
                <w:szCs w:val="21"/>
              </w:rPr>
            </w:pPr>
            <w:r>
              <w:rPr>
                <w:rFonts w:hint="eastAsia"/>
                <w:szCs w:val="21"/>
              </w:rPr>
              <w:t>高级工程师/注册规划师</w:t>
            </w:r>
          </w:p>
        </w:tc>
        <w:tc>
          <w:tcPr>
            <w:tcW w:w="32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3"/>
              <w:adjustRightInd w:val="0"/>
              <w:snapToGrid w:val="0"/>
              <w:ind w:firstLine="0" w:firstLineChars="0"/>
              <w:jc w:val="center"/>
              <w:rPr>
                <w:rFonts w:ascii="宋体" w:hAnsi="宋体"/>
                <w:szCs w:val="21"/>
              </w:rPr>
            </w:pPr>
            <w:r>
              <w:rPr>
                <w:rFonts w:hint="eastAsia" w:ascii="宋体" w:hAnsi="宋体"/>
                <w:szCs w:val="21"/>
              </w:rPr>
              <w:t>景观事业部总经理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601" w:type="dxa"/>
            <w:tcBorders>
              <w:top w:val="single" w:color="auto" w:sz="4" w:space="0"/>
              <w:left w:val="single" w:color="auto" w:sz="4" w:space="0"/>
              <w:bottom w:val="single" w:color="auto" w:sz="4" w:space="0"/>
              <w:right w:val="nil"/>
            </w:tcBorders>
            <w:vAlign w:val="center"/>
          </w:tcPr>
          <w:p>
            <w:pPr>
              <w:adjustRightInd w:val="0"/>
              <w:snapToGrid w:val="0"/>
              <w:jc w:val="center"/>
              <w:rPr>
                <w:rFonts w:ascii="Times New Roman" w:hAnsi="Times New Roman"/>
                <w:szCs w:val="21"/>
              </w:rPr>
            </w:pPr>
            <w:r>
              <w:rPr>
                <w:rFonts w:hint="eastAsia" w:ascii="Times New Roman" w:hAnsi="Times New Roman"/>
                <w:szCs w:val="21"/>
              </w:rPr>
              <w:t>05</w:t>
            </w:r>
          </w:p>
        </w:tc>
        <w:tc>
          <w:tcPr>
            <w:tcW w:w="1067" w:type="dxa"/>
            <w:tcBorders>
              <w:top w:val="single" w:color="auto" w:sz="4" w:space="0"/>
              <w:left w:val="single" w:color="auto" w:sz="4" w:space="0"/>
              <w:bottom w:val="single" w:color="auto" w:sz="4" w:space="0"/>
              <w:right w:val="single" w:color="auto" w:sz="4" w:space="0"/>
            </w:tcBorders>
            <w:vAlign w:val="center"/>
          </w:tcPr>
          <w:p>
            <w:pPr>
              <w:pStyle w:val="33"/>
              <w:adjustRightInd w:val="0"/>
              <w:snapToGrid w:val="0"/>
              <w:ind w:firstLine="0" w:firstLineChars="0"/>
              <w:jc w:val="center"/>
              <w:rPr>
                <w:rFonts w:ascii="宋体" w:hAnsi="宋体"/>
                <w:szCs w:val="21"/>
              </w:rPr>
            </w:pPr>
            <w:r>
              <w:rPr>
                <w:rFonts w:hint="eastAsia"/>
                <w:szCs w:val="21"/>
              </w:rPr>
              <w:t>欧阳文琪</w:t>
            </w:r>
          </w:p>
        </w:tc>
        <w:tc>
          <w:tcPr>
            <w:tcW w:w="1134" w:type="dxa"/>
            <w:tcBorders>
              <w:top w:val="single" w:color="auto" w:sz="4" w:space="0"/>
              <w:left w:val="single" w:color="auto" w:sz="4" w:space="0"/>
              <w:bottom w:val="single" w:color="auto" w:sz="4" w:space="0"/>
              <w:right w:val="nil"/>
            </w:tcBorders>
            <w:shd w:val="clear" w:color="auto" w:fill="auto"/>
            <w:vAlign w:val="center"/>
          </w:tcPr>
          <w:p>
            <w:pPr>
              <w:pStyle w:val="33"/>
              <w:adjustRightInd w:val="0"/>
              <w:snapToGrid w:val="0"/>
              <w:ind w:firstLine="0" w:firstLineChars="0"/>
              <w:jc w:val="center"/>
              <w:rPr>
                <w:rFonts w:ascii="宋体" w:hAnsi="宋体"/>
                <w:szCs w:val="21"/>
              </w:rPr>
            </w:pPr>
            <w:r>
              <w:rPr>
                <w:rFonts w:hint="eastAsia" w:ascii="宋体" w:hAnsi="宋体"/>
                <w:szCs w:val="21"/>
              </w:rPr>
              <w:t>景观专业</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3"/>
              <w:adjustRightInd w:val="0"/>
              <w:snapToGrid w:val="0"/>
              <w:ind w:firstLine="0" w:firstLineChars="0"/>
              <w:jc w:val="center"/>
              <w:rPr>
                <w:rFonts w:ascii="宋体" w:hAnsi="宋体"/>
                <w:szCs w:val="21"/>
              </w:rPr>
            </w:pPr>
            <w:r>
              <w:rPr>
                <w:rFonts w:hint="eastAsia" w:ascii="宋体" w:hAnsi="宋体"/>
                <w:szCs w:val="21"/>
              </w:rPr>
              <w:t>中级工程师/景观规划师</w:t>
            </w:r>
          </w:p>
        </w:tc>
        <w:tc>
          <w:tcPr>
            <w:tcW w:w="32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szCs w:val="21"/>
              </w:rPr>
            </w:pPr>
            <w:r>
              <w:rPr>
                <w:rFonts w:hint="eastAsia"/>
                <w:szCs w:val="21"/>
              </w:rPr>
              <w:t>所长/专业负责人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7" w:hRule="atLeast"/>
        </w:trPr>
        <w:tc>
          <w:tcPr>
            <w:tcW w:w="601" w:type="dxa"/>
            <w:tcBorders>
              <w:left w:val="single" w:color="auto" w:sz="4" w:space="0"/>
              <w:right w:val="single" w:color="auto" w:sz="4" w:space="0"/>
            </w:tcBorders>
            <w:vAlign w:val="center"/>
          </w:tcPr>
          <w:p>
            <w:pPr>
              <w:adjustRightInd w:val="0"/>
              <w:snapToGrid w:val="0"/>
              <w:jc w:val="center"/>
              <w:rPr>
                <w:rFonts w:ascii="Times New Roman" w:hAnsi="Times New Roman"/>
                <w:szCs w:val="21"/>
              </w:rPr>
            </w:pPr>
            <w:r>
              <w:rPr>
                <w:rFonts w:hint="eastAsia" w:ascii="Times New Roman" w:hAnsi="Times New Roman"/>
                <w:szCs w:val="21"/>
              </w:rPr>
              <w:t>06</w:t>
            </w:r>
          </w:p>
        </w:tc>
        <w:tc>
          <w:tcPr>
            <w:tcW w:w="1067" w:type="dxa"/>
            <w:tcBorders>
              <w:left w:val="single" w:color="auto" w:sz="4" w:space="0"/>
              <w:right w:val="single" w:color="auto" w:sz="4" w:space="0"/>
            </w:tcBorders>
            <w:vAlign w:val="center"/>
          </w:tcPr>
          <w:p>
            <w:pPr>
              <w:adjustRightInd w:val="0"/>
              <w:snapToGrid w:val="0"/>
              <w:jc w:val="center"/>
              <w:rPr>
                <w:szCs w:val="21"/>
              </w:rPr>
            </w:pPr>
            <w:r>
              <w:t>姜贻昌</w:t>
            </w:r>
          </w:p>
        </w:tc>
        <w:tc>
          <w:tcPr>
            <w:tcW w:w="1134" w:type="dxa"/>
            <w:tcBorders>
              <w:left w:val="single" w:color="auto" w:sz="4" w:space="0"/>
              <w:right w:val="single" w:color="auto" w:sz="4" w:space="0"/>
            </w:tcBorders>
            <w:shd w:val="clear" w:color="auto" w:fill="auto"/>
            <w:vAlign w:val="bottom"/>
          </w:tcPr>
          <w:p>
            <w:pPr>
              <w:adjustRightInd w:val="0"/>
              <w:snapToGrid w:val="0"/>
              <w:rPr>
                <w:szCs w:val="21"/>
              </w:rPr>
            </w:pPr>
            <w:r>
              <w:rPr>
                <w:rFonts w:hint="eastAsia"/>
                <w:szCs w:val="21"/>
              </w:rPr>
              <w:t>城市规划</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城市规划师</w:t>
            </w:r>
          </w:p>
        </w:tc>
        <w:tc>
          <w:tcPr>
            <w:tcW w:w="3220"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jc w:val="center"/>
              <w:rPr>
                <w:szCs w:val="21"/>
              </w:rPr>
            </w:pPr>
            <w:r>
              <w:rPr>
                <w:rFonts w:hint="eastAsia"/>
                <w:szCs w:val="21"/>
              </w:rPr>
              <w:t>项目组成员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7" w:hRule="atLeast"/>
        </w:trPr>
        <w:tc>
          <w:tcPr>
            <w:tcW w:w="601" w:type="dxa"/>
            <w:tcBorders>
              <w:left w:val="single" w:color="auto" w:sz="4" w:space="0"/>
              <w:right w:val="single" w:color="auto" w:sz="4" w:space="0"/>
            </w:tcBorders>
            <w:vAlign w:val="center"/>
          </w:tcPr>
          <w:p>
            <w:pPr>
              <w:adjustRightInd w:val="0"/>
              <w:snapToGrid w:val="0"/>
              <w:jc w:val="center"/>
              <w:rPr>
                <w:rFonts w:ascii="Times New Roman" w:hAnsi="Times New Roman"/>
                <w:szCs w:val="21"/>
              </w:rPr>
            </w:pPr>
            <w:r>
              <w:rPr>
                <w:rFonts w:hint="eastAsia" w:ascii="Times New Roman" w:hAnsi="Times New Roman"/>
                <w:szCs w:val="21"/>
              </w:rPr>
              <w:t>07</w:t>
            </w:r>
          </w:p>
        </w:tc>
        <w:tc>
          <w:tcPr>
            <w:tcW w:w="1067"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王坤</w:t>
            </w:r>
          </w:p>
        </w:tc>
        <w:tc>
          <w:tcPr>
            <w:tcW w:w="1134" w:type="dxa"/>
            <w:tcBorders>
              <w:left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城市规划</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城市规划师</w:t>
            </w:r>
          </w:p>
        </w:tc>
        <w:tc>
          <w:tcPr>
            <w:tcW w:w="3220" w:type="dxa"/>
            <w:vMerge w:val="continue"/>
            <w:tcBorders>
              <w:left w:val="single" w:color="auto" w:sz="4" w:space="0"/>
              <w:right w:val="single" w:color="auto" w:sz="4" w:space="0"/>
            </w:tcBorders>
            <w:shd w:val="clear" w:color="auto" w:fill="auto"/>
            <w:vAlign w:val="center"/>
          </w:tcPr>
          <w:p>
            <w:pPr>
              <w:adjustRightInd w:val="0"/>
              <w:snapToGrid w:val="0"/>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7" w:hRule="atLeast"/>
        </w:trPr>
        <w:tc>
          <w:tcPr>
            <w:tcW w:w="601" w:type="dxa"/>
            <w:tcBorders>
              <w:left w:val="single" w:color="auto" w:sz="4" w:space="0"/>
              <w:right w:val="single" w:color="auto" w:sz="4" w:space="0"/>
            </w:tcBorders>
            <w:vAlign w:val="center"/>
          </w:tcPr>
          <w:p>
            <w:pPr>
              <w:adjustRightInd w:val="0"/>
              <w:snapToGrid w:val="0"/>
              <w:jc w:val="center"/>
              <w:rPr>
                <w:rFonts w:ascii="Times New Roman" w:hAnsi="Times New Roman"/>
                <w:szCs w:val="21"/>
              </w:rPr>
            </w:pPr>
            <w:r>
              <w:rPr>
                <w:rFonts w:hint="eastAsia" w:ascii="Times New Roman" w:hAnsi="Times New Roman"/>
                <w:szCs w:val="21"/>
              </w:rPr>
              <w:t>08</w:t>
            </w:r>
          </w:p>
        </w:tc>
        <w:tc>
          <w:tcPr>
            <w:tcW w:w="1067"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王毅</w:t>
            </w:r>
          </w:p>
        </w:tc>
        <w:tc>
          <w:tcPr>
            <w:tcW w:w="1134" w:type="dxa"/>
            <w:tcBorders>
              <w:left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风景园林</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景观设计师</w:t>
            </w:r>
          </w:p>
        </w:tc>
        <w:tc>
          <w:tcPr>
            <w:tcW w:w="3220" w:type="dxa"/>
            <w:vMerge w:val="continue"/>
            <w:tcBorders>
              <w:left w:val="single" w:color="auto" w:sz="4" w:space="0"/>
              <w:right w:val="single" w:color="auto" w:sz="4" w:space="0"/>
            </w:tcBorders>
            <w:shd w:val="clear" w:color="auto" w:fill="auto"/>
            <w:vAlign w:val="center"/>
          </w:tcPr>
          <w:p>
            <w:pPr>
              <w:adjustRightInd w:val="0"/>
              <w:snapToGrid w:val="0"/>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7" w:hRule="atLeast"/>
        </w:trPr>
        <w:tc>
          <w:tcPr>
            <w:tcW w:w="601" w:type="dxa"/>
            <w:tcBorders>
              <w:left w:val="single" w:color="auto" w:sz="4" w:space="0"/>
              <w:right w:val="single" w:color="auto" w:sz="4" w:space="0"/>
            </w:tcBorders>
            <w:vAlign w:val="center"/>
          </w:tcPr>
          <w:p>
            <w:pPr>
              <w:adjustRightInd w:val="0"/>
              <w:snapToGrid w:val="0"/>
              <w:jc w:val="center"/>
              <w:rPr>
                <w:rFonts w:ascii="Times New Roman" w:hAnsi="Times New Roman"/>
                <w:szCs w:val="21"/>
              </w:rPr>
            </w:pPr>
            <w:r>
              <w:rPr>
                <w:rFonts w:hint="eastAsia" w:ascii="Times New Roman" w:hAnsi="Times New Roman"/>
                <w:szCs w:val="21"/>
              </w:rPr>
              <w:t>09</w:t>
            </w:r>
          </w:p>
        </w:tc>
        <w:tc>
          <w:tcPr>
            <w:tcW w:w="1067"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陈浩来</w:t>
            </w:r>
          </w:p>
        </w:tc>
        <w:tc>
          <w:tcPr>
            <w:tcW w:w="1134" w:type="dxa"/>
            <w:tcBorders>
              <w:left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风景园林</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景观设计师</w:t>
            </w:r>
          </w:p>
        </w:tc>
        <w:tc>
          <w:tcPr>
            <w:tcW w:w="3220" w:type="dxa"/>
            <w:vMerge w:val="continue"/>
            <w:tcBorders>
              <w:left w:val="single" w:color="auto" w:sz="4" w:space="0"/>
              <w:right w:val="single" w:color="auto" w:sz="4" w:space="0"/>
            </w:tcBorders>
            <w:shd w:val="clear" w:color="auto" w:fill="auto"/>
            <w:vAlign w:val="center"/>
          </w:tcPr>
          <w:p>
            <w:pPr>
              <w:adjustRightInd w:val="0"/>
              <w:snapToGrid w:val="0"/>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7" w:hRule="atLeast"/>
        </w:trPr>
        <w:tc>
          <w:tcPr>
            <w:tcW w:w="601" w:type="dxa"/>
            <w:tcBorders>
              <w:left w:val="single" w:color="auto" w:sz="4" w:space="0"/>
              <w:right w:val="single" w:color="auto" w:sz="4" w:space="0"/>
            </w:tcBorders>
            <w:vAlign w:val="center"/>
          </w:tcPr>
          <w:p>
            <w:pPr>
              <w:adjustRightInd w:val="0"/>
              <w:snapToGrid w:val="0"/>
              <w:jc w:val="center"/>
              <w:rPr>
                <w:rFonts w:ascii="Times New Roman" w:hAnsi="Times New Roman"/>
                <w:szCs w:val="21"/>
              </w:rPr>
            </w:pPr>
            <w:r>
              <w:rPr>
                <w:rFonts w:hint="eastAsia" w:ascii="Times New Roman" w:hAnsi="Times New Roman"/>
                <w:szCs w:val="21"/>
              </w:rPr>
              <w:t>10</w:t>
            </w:r>
          </w:p>
        </w:tc>
        <w:tc>
          <w:tcPr>
            <w:tcW w:w="1067"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林晓霞</w:t>
            </w:r>
          </w:p>
        </w:tc>
        <w:tc>
          <w:tcPr>
            <w:tcW w:w="1134" w:type="dxa"/>
            <w:tcBorders>
              <w:left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景观设计</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植物设计师</w:t>
            </w:r>
          </w:p>
        </w:tc>
        <w:tc>
          <w:tcPr>
            <w:tcW w:w="3220" w:type="dxa"/>
            <w:vMerge w:val="continue"/>
            <w:tcBorders>
              <w:left w:val="single" w:color="auto" w:sz="4" w:space="0"/>
              <w:right w:val="single" w:color="auto" w:sz="4" w:space="0"/>
            </w:tcBorders>
            <w:shd w:val="clear" w:color="auto" w:fill="auto"/>
            <w:vAlign w:val="center"/>
          </w:tcPr>
          <w:p>
            <w:pPr>
              <w:adjustRightInd w:val="0"/>
              <w:snapToGrid w:val="0"/>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atLeast"/>
        </w:trPr>
        <w:tc>
          <w:tcPr>
            <w:tcW w:w="601"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11</w:t>
            </w:r>
          </w:p>
        </w:tc>
        <w:tc>
          <w:tcPr>
            <w:tcW w:w="1067"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秦绪福</w:t>
            </w:r>
          </w:p>
        </w:tc>
        <w:tc>
          <w:tcPr>
            <w:tcW w:w="1134" w:type="dxa"/>
            <w:tcBorders>
              <w:left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道路专业</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高级工程师</w:t>
            </w:r>
          </w:p>
        </w:tc>
        <w:tc>
          <w:tcPr>
            <w:tcW w:w="3220" w:type="dxa"/>
            <w:vMerge w:val="restart"/>
            <w:tcBorders>
              <w:top w:val="single" w:color="auto" w:sz="4" w:space="0"/>
              <w:left w:val="single" w:color="auto" w:sz="4" w:space="0"/>
              <w:right w:val="single" w:color="auto" w:sz="4" w:space="0"/>
            </w:tcBorders>
            <w:shd w:val="clear" w:color="auto" w:fill="auto"/>
            <w:vAlign w:val="center"/>
          </w:tcPr>
          <w:p>
            <w:pPr>
              <w:adjustRightInd w:val="0"/>
              <w:snapToGrid w:val="0"/>
              <w:ind w:left="-227" w:leftChars="-108" w:firstLine="260" w:firstLineChars="124"/>
              <w:jc w:val="center"/>
              <w:rPr>
                <w:szCs w:val="21"/>
              </w:rPr>
            </w:pPr>
            <w:r>
              <w:rPr>
                <w:rFonts w:hint="eastAsia"/>
                <w:szCs w:val="21"/>
              </w:rPr>
              <w:t>专业协作成员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7" w:hRule="atLeast"/>
        </w:trPr>
        <w:tc>
          <w:tcPr>
            <w:tcW w:w="601"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12</w:t>
            </w:r>
          </w:p>
        </w:tc>
        <w:tc>
          <w:tcPr>
            <w:tcW w:w="1067" w:type="dxa"/>
            <w:tcBorders>
              <w:left w:val="single" w:color="auto" w:sz="4" w:space="0"/>
              <w:right w:val="single" w:color="auto" w:sz="4" w:space="0"/>
            </w:tcBorders>
            <w:vAlign w:val="center"/>
          </w:tcPr>
          <w:p>
            <w:pPr>
              <w:adjustRightInd w:val="0"/>
              <w:snapToGrid w:val="0"/>
              <w:jc w:val="center"/>
              <w:rPr>
                <w:szCs w:val="21"/>
              </w:rPr>
            </w:pPr>
            <w:r>
              <w:rPr>
                <w:rFonts w:hint="eastAsia"/>
                <w:szCs w:val="21"/>
              </w:rPr>
              <w:t>叶亮</w:t>
            </w:r>
          </w:p>
        </w:tc>
        <w:tc>
          <w:tcPr>
            <w:tcW w:w="1134" w:type="dxa"/>
            <w:tcBorders>
              <w:left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市政专业</w:t>
            </w:r>
          </w:p>
        </w:tc>
        <w:tc>
          <w:tcPr>
            <w:tcW w:w="2551" w:type="dxa"/>
            <w:tcBorders>
              <w:top w:val="single" w:color="auto" w:sz="4" w:space="0"/>
              <w:left w:val="single" w:color="auto" w:sz="4" w:space="0"/>
              <w:bottom w:val="single" w:color="auto" w:sz="4" w:space="0"/>
              <w:right w:val="single" w:color="auto" w:sz="4" w:space="0"/>
            </w:tcBorders>
            <w:shd w:val="clear" w:color="auto" w:fill="auto"/>
            <w:vAlign w:val="bottom"/>
          </w:tcPr>
          <w:p>
            <w:pPr>
              <w:adjustRightInd w:val="0"/>
              <w:snapToGrid w:val="0"/>
              <w:jc w:val="center"/>
              <w:rPr>
                <w:szCs w:val="21"/>
              </w:rPr>
            </w:pPr>
            <w:r>
              <w:rPr>
                <w:rFonts w:hint="eastAsia"/>
                <w:szCs w:val="21"/>
              </w:rPr>
              <w:t>高级工程师</w:t>
            </w:r>
          </w:p>
        </w:tc>
        <w:tc>
          <w:tcPr>
            <w:tcW w:w="3220" w:type="dxa"/>
            <w:vMerge w:val="continue"/>
            <w:tcBorders>
              <w:left w:val="single" w:color="auto" w:sz="4" w:space="0"/>
              <w:right w:val="single" w:color="auto" w:sz="4" w:space="0"/>
            </w:tcBorders>
            <w:shd w:val="clear" w:color="auto" w:fill="auto"/>
            <w:vAlign w:val="center"/>
          </w:tcPr>
          <w:p>
            <w:pPr>
              <w:adjustRightInd w:val="0"/>
              <w:snapToGrid w:val="0"/>
              <w:jc w:val="center"/>
              <w:rPr>
                <w:szCs w:val="21"/>
              </w:rPr>
            </w:pPr>
          </w:p>
        </w:tc>
      </w:tr>
    </w:tbl>
    <w:p>
      <w:pPr>
        <w:spacing w:line="276" w:lineRule="auto"/>
        <w:rPr>
          <w:rFonts w:ascii="宋体" w:hAnsi="宋体"/>
        </w:rPr>
      </w:pPr>
    </w:p>
    <w:p>
      <w:pPr>
        <w:pStyle w:val="3"/>
        <w:ind w:right="-86" w:rightChars="-41"/>
        <w:rPr>
          <w:rFonts w:ascii="宋体" w:hAnsi="宋体" w:eastAsia="宋体"/>
        </w:rPr>
      </w:pPr>
      <w:bookmarkStart w:id="20" w:name="_Toc477945622"/>
      <w:r>
        <w:rPr>
          <w:rFonts w:hint="eastAsia" w:ascii="宋体" w:hAnsi="宋体" w:eastAsia="宋体"/>
        </w:rPr>
        <w:t>5</w:t>
      </w:r>
      <w:bookmarkEnd w:id="20"/>
      <w:r>
        <w:rPr>
          <w:rFonts w:hint="eastAsia" w:ascii="宋体" w:hAnsi="宋体" w:eastAsia="宋体"/>
        </w:rPr>
        <w:t>规划费用</w:t>
      </w:r>
    </w:p>
    <w:p>
      <w:pPr>
        <w:spacing w:before="93" w:beforeLines="30" w:line="360" w:lineRule="auto"/>
        <w:ind w:firstLine="480" w:firstLineChars="200"/>
        <w:rPr>
          <w:rFonts w:ascii="宋体" w:hAnsi="宋体"/>
          <w:sz w:val="24"/>
        </w:rPr>
      </w:pPr>
      <w:r>
        <w:rPr>
          <w:rFonts w:hint="eastAsia"/>
          <w:sz w:val="24"/>
          <w:szCs w:val="24"/>
        </w:rPr>
        <w:t>依据《广东省城市规划收费标准的建议-行业指导价（2003年）》，</w:t>
      </w:r>
      <w:r>
        <w:rPr>
          <w:rFonts w:hint="eastAsia" w:ascii="宋体" w:hAnsi="宋体"/>
          <w:sz w:val="24"/>
        </w:rPr>
        <w:t>控制性详细规划中的城市一般地区规划费3</w:t>
      </w:r>
      <w:r>
        <w:rPr>
          <w:rFonts w:hint="eastAsia" w:ascii="宋体" w:hAnsi="宋体"/>
          <w:sz w:val="24"/>
          <w:lang w:val="en-US" w:eastAsia="zh-CN"/>
        </w:rPr>
        <w:t>0</w:t>
      </w:r>
      <w:r>
        <w:rPr>
          <w:rFonts w:ascii="宋体" w:hAnsi="宋体"/>
          <w:sz w:val="24"/>
        </w:rPr>
        <w:t>00</w:t>
      </w:r>
      <w:r>
        <w:rPr>
          <w:rFonts w:hint="eastAsia" w:ascii="宋体" w:hAnsi="宋体"/>
          <w:sz w:val="24"/>
        </w:rPr>
        <w:t>元/公顷（详见附件表1）。</w:t>
      </w:r>
    </w:p>
    <w:p>
      <w:pPr>
        <w:spacing w:before="93" w:beforeLines="30" w:line="360" w:lineRule="auto"/>
        <w:ind w:firstLine="480" w:firstLineChars="200"/>
        <w:rPr>
          <w:rFonts w:ascii="宋体" w:hAnsi="宋体"/>
          <w:sz w:val="24"/>
        </w:rPr>
      </w:pPr>
      <w:r>
        <w:rPr>
          <w:rFonts w:hint="eastAsia" w:ascii="宋体" w:hAnsi="宋体"/>
          <w:sz w:val="24"/>
        </w:rPr>
        <w:t>此次绿化提升面积约为</w:t>
      </w:r>
      <w:r>
        <w:rPr>
          <w:rFonts w:ascii="宋体" w:hAnsi="宋体"/>
          <w:sz w:val="24"/>
        </w:rPr>
        <w:t>545</w:t>
      </w:r>
      <w:r>
        <w:rPr>
          <w:rFonts w:hint="eastAsia" w:ascii="宋体" w:hAnsi="宋体"/>
          <w:sz w:val="24"/>
        </w:rPr>
        <w:t>公顷，因此项目规划阶段费用为</w:t>
      </w:r>
      <w:r>
        <w:rPr>
          <w:rFonts w:ascii="宋体" w:hAnsi="宋体"/>
          <w:sz w:val="24"/>
        </w:rPr>
        <w:t>545</w:t>
      </w:r>
      <w:r>
        <w:rPr>
          <w:rFonts w:hint="eastAsia" w:ascii="宋体" w:hAnsi="宋体"/>
          <w:sz w:val="24"/>
        </w:rPr>
        <w:t>*3</w:t>
      </w:r>
      <w:r>
        <w:rPr>
          <w:rFonts w:hint="eastAsia" w:ascii="宋体" w:hAnsi="宋体"/>
          <w:sz w:val="24"/>
          <w:lang w:val="en-US" w:eastAsia="zh-CN"/>
        </w:rPr>
        <w:t>0</w:t>
      </w:r>
      <w:r>
        <w:rPr>
          <w:rFonts w:hint="eastAsia" w:ascii="宋体" w:hAnsi="宋体"/>
          <w:sz w:val="24"/>
        </w:rPr>
        <w:t>00=</w:t>
      </w:r>
      <w:r>
        <w:rPr>
          <w:rFonts w:ascii="宋体" w:hAnsi="宋体"/>
          <w:sz w:val="24"/>
        </w:rPr>
        <w:t>1</w:t>
      </w:r>
      <w:r>
        <w:rPr>
          <w:rFonts w:hint="eastAsia" w:ascii="宋体" w:hAnsi="宋体"/>
          <w:sz w:val="24"/>
          <w:lang w:val="en-US" w:eastAsia="zh-CN"/>
        </w:rPr>
        <w:t>63.5</w:t>
      </w:r>
      <w:r>
        <w:rPr>
          <w:rFonts w:hint="eastAsia" w:ascii="宋体" w:hAnsi="宋体"/>
          <w:sz w:val="24"/>
        </w:rPr>
        <w:t>万元；本次规划深度为</w:t>
      </w:r>
      <w:r>
        <w:rPr>
          <w:rFonts w:hint="eastAsia"/>
          <w:sz w:val="24"/>
          <w:szCs w:val="24"/>
        </w:rPr>
        <w:t>控制性详细规划的概念规划阶段，</w:t>
      </w:r>
      <w:r>
        <w:rPr>
          <w:rFonts w:hint="eastAsia" w:ascii="宋体" w:hAnsi="宋体"/>
          <w:sz w:val="24"/>
        </w:rPr>
        <w:t>根据不同阶段的概念规划按其相应阶段规划收费的</w:t>
      </w:r>
      <w:r>
        <w:rPr>
          <w:rFonts w:hint="eastAsia" w:ascii="宋体" w:hAnsi="宋体"/>
          <w:sz w:val="24"/>
          <w:lang w:val="en-US" w:eastAsia="zh-CN"/>
        </w:rPr>
        <w:t>4</w:t>
      </w:r>
      <w:bookmarkStart w:id="21" w:name="_GoBack"/>
      <w:bookmarkEnd w:id="21"/>
      <w:r>
        <w:rPr>
          <w:rFonts w:ascii="宋体" w:hAnsi="宋体"/>
          <w:sz w:val="24"/>
        </w:rPr>
        <w:t>0</w:t>
      </w:r>
      <w:r>
        <w:rPr>
          <w:rFonts w:hint="eastAsia" w:ascii="宋体" w:hAnsi="宋体"/>
          <w:sz w:val="24"/>
        </w:rPr>
        <w:t>%-</w:t>
      </w:r>
      <w:r>
        <w:rPr>
          <w:rFonts w:ascii="宋体" w:hAnsi="宋体"/>
          <w:sz w:val="24"/>
        </w:rPr>
        <w:t>60</w:t>
      </w:r>
      <w:r>
        <w:rPr>
          <w:rFonts w:hint="eastAsia" w:ascii="宋体" w:hAnsi="宋体"/>
          <w:sz w:val="24"/>
        </w:rPr>
        <w:t>%计费（详见附件表2）。本次取值</w:t>
      </w:r>
      <w:r>
        <w:rPr>
          <w:rFonts w:hint="eastAsia" w:ascii="宋体" w:hAnsi="宋体"/>
          <w:sz w:val="24"/>
          <w:lang w:val="en-US" w:eastAsia="zh-CN"/>
        </w:rPr>
        <w:t>3</w:t>
      </w:r>
      <w:r>
        <w:rPr>
          <w:rFonts w:ascii="宋体" w:hAnsi="宋体"/>
          <w:sz w:val="24"/>
        </w:rPr>
        <w:t>0</w:t>
      </w:r>
      <w:r>
        <w:rPr>
          <w:rFonts w:hint="eastAsia" w:ascii="宋体" w:hAnsi="宋体"/>
          <w:sz w:val="24"/>
        </w:rPr>
        <w:t>%，最终费用为</w:t>
      </w:r>
      <w:r>
        <w:rPr>
          <w:rFonts w:hint="eastAsia" w:ascii="宋体" w:hAnsi="宋体"/>
          <w:sz w:val="24"/>
          <w:lang w:val="en-US" w:eastAsia="zh-CN"/>
        </w:rPr>
        <w:t>163.5</w:t>
      </w:r>
      <w:r>
        <w:rPr>
          <w:rFonts w:hint="eastAsia" w:ascii="宋体" w:hAnsi="宋体"/>
          <w:sz w:val="24"/>
        </w:rPr>
        <w:t>*0.</w:t>
      </w:r>
      <w:r>
        <w:rPr>
          <w:rFonts w:hint="eastAsia" w:ascii="宋体" w:hAnsi="宋体"/>
          <w:sz w:val="24"/>
          <w:lang w:val="en-US" w:eastAsia="zh-CN"/>
        </w:rPr>
        <w:t>3</w:t>
      </w:r>
      <w:r>
        <w:rPr>
          <w:rFonts w:hint="eastAsia" w:ascii="宋体" w:hAnsi="宋体"/>
          <w:sz w:val="24"/>
        </w:rPr>
        <w:t>=</w:t>
      </w:r>
      <w:r>
        <w:rPr>
          <w:rFonts w:hint="eastAsia" w:ascii="宋体" w:hAnsi="宋体"/>
          <w:sz w:val="24"/>
          <w:lang w:val="en-US" w:eastAsia="zh-CN"/>
        </w:rPr>
        <w:t>46.05</w:t>
      </w:r>
      <w:r>
        <w:rPr>
          <w:rFonts w:hint="eastAsia" w:ascii="宋体" w:hAnsi="宋体"/>
          <w:sz w:val="24"/>
        </w:rPr>
        <w:t>万元，取整</w:t>
      </w:r>
      <w:r>
        <w:rPr>
          <w:rFonts w:hint="eastAsia" w:ascii="宋体" w:hAnsi="宋体"/>
          <w:sz w:val="24"/>
          <w:lang w:val="en-US" w:eastAsia="zh-CN"/>
        </w:rPr>
        <w:t>46</w:t>
      </w:r>
      <w:r>
        <w:rPr>
          <w:rFonts w:hint="eastAsia" w:ascii="宋体" w:hAnsi="宋体"/>
          <w:b/>
          <w:sz w:val="24"/>
        </w:rPr>
        <w:t>万元（大写</w:t>
      </w:r>
      <w:r>
        <w:rPr>
          <w:rFonts w:hint="eastAsia" w:ascii="宋体" w:hAnsi="宋体"/>
          <w:b/>
          <w:sz w:val="24"/>
          <w:lang w:eastAsia="zh-CN"/>
        </w:rPr>
        <w:t>肆拾陆</w:t>
      </w:r>
      <w:r>
        <w:rPr>
          <w:rFonts w:hint="eastAsia" w:ascii="宋体" w:hAnsi="宋体"/>
          <w:b/>
          <w:sz w:val="24"/>
        </w:rPr>
        <w:t>万元整）</w:t>
      </w:r>
      <w:r>
        <w:rPr>
          <w:rFonts w:hint="eastAsia" w:ascii="宋体" w:hAnsi="宋体"/>
          <w:sz w:val="24"/>
        </w:rPr>
        <w:t>。</w:t>
      </w:r>
    </w:p>
    <w:p>
      <w:pPr>
        <w:spacing w:before="93" w:beforeLines="30" w:line="360" w:lineRule="auto"/>
        <w:rPr>
          <w:sz w:val="24"/>
          <w:szCs w:val="24"/>
        </w:rPr>
      </w:pPr>
    </w:p>
    <w:p>
      <w:pPr>
        <w:spacing w:before="93" w:beforeLines="30" w:line="360" w:lineRule="auto"/>
        <w:rPr>
          <w:sz w:val="24"/>
          <w:szCs w:val="24"/>
        </w:rPr>
      </w:pPr>
    </w:p>
    <w:p>
      <w:pPr>
        <w:spacing w:before="93" w:beforeLines="30" w:line="360" w:lineRule="auto"/>
        <w:rPr>
          <w:sz w:val="24"/>
          <w:szCs w:val="24"/>
        </w:rPr>
      </w:pPr>
    </w:p>
    <w:p>
      <w:pPr>
        <w:spacing w:before="93" w:beforeLines="30" w:line="360" w:lineRule="auto"/>
        <w:rPr>
          <w:sz w:val="24"/>
          <w:szCs w:val="24"/>
        </w:rPr>
      </w:pPr>
      <w:r>
        <w:rPr>
          <w:rFonts w:hint="eastAsia"/>
          <w:sz w:val="24"/>
          <w:szCs w:val="24"/>
        </w:rPr>
        <w:t>附件：《广东省城市规划收费标准的建议-行业指导价（2003年）》</w:t>
      </w:r>
    </w:p>
    <w:p>
      <w:pPr>
        <w:spacing w:before="93" w:beforeLines="30" w:line="360" w:lineRule="auto"/>
        <w:rPr>
          <w:sz w:val="24"/>
          <w:szCs w:val="24"/>
        </w:rPr>
      </w:pPr>
      <w:r>
        <w:drawing>
          <wp:anchor distT="0" distB="0" distL="114300" distR="114300" simplePos="0" relativeHeight="251659264" behindDoc="1" locked="0" layoutInCell="1" allowOverlap="1">
            <wp:simplePos x="0" y="0"/>
            <wp:positionH relativeFrom="margin">
              <wp:align>right</wp:align>
            </wp:positionH>
            <wp:positionV relativeFrom="paragraph">
              <wp:posOffset>426720</wp:posOffset>
            </wp:positionV>
            <wp:extent cx="5376545" cy="2695575"/>
            <wp:effectExtent l="0" t="0" r="0" b="9525"/>
            <wp:wrapTight wrapText="bothSides">
              <wp:wrapPolygon>
                <wp:start x="0" y="0"/>
                <wp:lineTo x="0" y="21524"/>
                <wp:lineTo x="21506" y="21524"/>
                <wp:lineTo x="21506" y="0"/>
                <wp:lineTo x="0" y="0"/>
              </wp:wrapPolygon>
            </wp:wrapTight>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extLst>
                        <a:ext uri="{28A0092B-C50C-407E-A947-70E740481C1C}">
                          <a14:useLocalDpi xmlns:a14="http://schemas.microsoft.com/office/drawing/2010/main" val="0"/>
                        </a:ext>
                      </a:extLst>
                    </a:blip>
                    <a:srcRect l="7658" t="5745" r="9263" b="12536"/>
                    <a:stretch>
                      <a:fillRect/>
                    </a:stretch>
                  </pic:blipFill>
                  <pic:spPr>
                    <a:xfrm>
                      <a:off x="0" y="0"/>
                      <a:ext cx="5376545" cy="2695575"/>
                    </a:xfrm>
                    <a:prstGeom prst="rect">
                      <a:avLst/>
                    </a:prstGeom>
                    <a:ln>
                      <a:noFill/>
                    </a:ln>
                  </pic:spPr>
                </pic:pic>
              </a:graphicData>
            </a:graphic>
          </wp:anchor>
        </w:drawing>
      </w:r>
      <w:r>
        <w:rPr>
          <w:rFonts w:hint="eastAsia"/>
          <w:sz w:val="24"/>
          <w:szCs w:val="24"/>
        </w:rPr>
        <w:t>表一：</w:t>
      </w:r>
    </w:p>
    <w:p>
      <w:pPr>
        <w:spacing w:before="93" w:beforeLines="30" w:line="360" w:lineRule="auto"/>
        <w:rPr>
          <w:sz w:val="24"/>
          <w:szCs w:val="24"/>
        </w:rPr>
      </w:pPr>
      <w:r>
        <w:rPr>
          <w:rFonts w:hint="eastAsia"/>
          <w:sz w:val="24"/>
          <w:szCs w:val="24"/>
        </w:rPr>
        <w:t>表二：</w:t>
      </w:r>
    </w:p>
    <w:p>
      <w:pPr>
        <w:spacing w:before="93" w:beforeLines="30" w:line="360" w:lineRule="auto"/>
        <w:rPr>
          <w:sz w:val="24"/>
          <w:szCs w:val="24"/>
        </w:rPr>
      </w:pPr>
      <w:r>
        <w:rPr>
          <w:sz w:val="24"/>
          <w:szCs w:val="24"/>
        </w:rPr>
        <w:drawing>
          <wp:anchor distT="0" distB="0" distL="114300" distR="114300" simplePos="0" relativeHeight="251660288" behindDoc="1" locked="0" layoutInCell="1" allowOverlap="1">
            <wp:simplePos x="0" y="0"/>
            <wp:positionH relativeFrom="margin">
              <wp:posOffset>20955</wp:posOffset>
            </wp:positionH>
            <wp:positionV relativeFrom="paragraph">
              <wp:posOffset>2730500</wp:posOffset>
            </wp:positionV>
            <wp:extent cx="5093335" cy="790575"/>
            <wp:effectExtent l="0" t="0" r="0" b="9525"/>
            <wp:wrapTight wrapText="bothSides">
              <wp:wrapPolygon>
                <wp:start x="0" y="0"/>
                <wp:lineTo x="0" y="21340"/>
                <wp:lineTo x="21490" y="21340"/>
                <wp:lineTo x="21490"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a:extLst>
                        <a:ext uri="{28A0092B-C50C-407E-A947-70E740481C1C}">
                          <a14:useLocalDpi xmlns:a14="http://schemas.microsoft.com/office/drawing/2010/main" val="0"/>
                        </a:ext>
                      </a:extLst>
                    </a:blip>
                    <a:srcRect t="20357" b="22971"/>
                    <a:stretch>
                      <a:fillRect/>
                    </a:stretch>
                  </pic:blipFill>
                  <pic:spPr>
                    <a:xfrm>
                      <a:off x="0" y="0"/>
                      <a:ext cx="5093335" cy="790575"/>
                    </a:xfrm>
                    <a:prstGeom prst="rect">
                      <a:avLst/>
                    </a:prstGeom>
                    <a:noFill/>
                    <a:ln>
                      <a:noFill/>
                    </a:ln>
                  </pic:spPr>
                </pic:pic>
              </a:graphicData>
            </a:graphic>
          </wp:anchor>
        </w:drawing>
      </w:r>
    </w:p>
    <w:sectPr>
      <w:footerReference r:id="rId5"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微软雅黑">
    <w:panose1 w:val="020B0503020204020204"/>
    <w:charset w:val="86"/>
    <w:family w:val="swiss"/>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574425"/>
      <w:showingPlcHdr/>
    </w:sdtPr>
    <w:sdtContent>
      <w:p>
        <w:pPr>
          <w:pStyle w:val="10"/>
          <w:jc w:val="center"/>
        </w:pPr>
        <w:r>
          <w:t xml:space="preserve">     </w:t>
        </w:r>
      </w:p>
    </w:sdtContent>
  </w:sdt>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34849"/>
      <w:docPartObj>
        <w:docPartGallery w:val="autotext"/>
      </w:docPartObj>
    </w:sdtPr>
    <w:sdtContent>
      <w:p>
        <w:pPr>
          <w:pStyle w:val="10"/>
          <w:jc w:val="cente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w:t>
        </w:r>
        <w:r>
          <w:rPr>
            <w:rFonts w:ascii="Times New Roman" w:hAnsi="Times New Roman" w:cs="Times New Roman"/>
          </w:rPr>
          <w:fldChar w:fldCharType="end"/>
        </w:r>
      </w:p>
    </w:sdtContent>
  </w:sdt>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74017973"/>
      <w:docPartObj>
        <w:docPartGallery w:val="autotext"/>
      </w:docPartObj>
    </w:sdtPr>
    <w:sdtContent>
      <w:p>
        <w:pPr>
          <w:pStyle w:val="10"/>
          <w:jc w:val="center"/>
        </w:pPr>
        <w:r>
          <w:fldChar w:fldCharType="begin"/>
        </w:r>
        <w:r>
          <w:instrText xml:space="preserve">PAGE   \* MERGEFORMAT</w:instrText>
        </w:r>
        <w:r>
          <w:fldChar w:fldCharType="separate"/>
        </w:r>
        <w:r>
          <w:rPr>
            <w:lang w:val="zh-CN"/>
          </w:rPr>
          <w:t>6</w:t>
        </w:r>
        <w:r>
          <w:fldChar w:fldCharType="end"/>
        </w:r>
      </w:p>
    </w:sdtContent>
  </w:sdt>
  <w:p>
    <w:pPr>
      <w:pStyle w:val="1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bordersDoNotSurroundHeader w:val="1"/>
  <w:bordersDoNotSurroundFooter w:val="1"/>
  <w:hideSpellingErrors/>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6D2E"/>
    <w:rsid w:val="0000015B"/>
    <w:rsid w:val="00000501"/>
    <w:rsid w:val="000013E4"/>
    <w:rsid w:val="00001C31"/>
    <w:rsid w:val="00002011"/>
    <w:rsid w:val="00004A4B"/>
    <w:rsid w:val="000056A8"/>
    <w:rsid w:val="00005D18"/>
    <w:rsid w:val="00006C13"/>
    <w:rsid w:val="00010B7E"/>
    <w:rsid w:val="00010D74"/>
    <w:rsid w:val="0001129B"/>
    <w:rsid w:val="00013491"/>
    <w:rsid w:val="00014474"/>
    <w:rsid w:val="000144CE"/>
    <w:rsid w:val="00015B0D"/>
    <w:rsid w:val="0002090E"/>
    <w:rsid w:val="00020E77"/>
    <w:rsid w:val="00021C32"/>
    <w:rsid w:val="00022D0F"/>
    <w:rsid w:val="00024B80"/>
    <w:rsid w:val="00025079"/>
    <w:rsid w:val="0002665D"/>
    <w:rsid w:val="00026ECB"/>
    <w:rsid w:val="00030005"/>
    <w:rsid w:val="0003288B"/>
    <w:rsid w:val="00035BBF"/>
    <w:rsid w:val="00035D7A"/>
    <w:rsid w:val="0003638B"/>
    <w:rsid w:val="00036737"/>
    <w:rsid w:val="00036CA8"/>
    <w:rsid w:val="00036FC9"/>
    <w:rsid w:val="000422E0"/>
    <w:rsid w:val="0004246F"/>
    <w:rsid w:val="00042512"/>
    <w:rsid w:val="0004425B"/>
    <w:rsid w:val="00045AAD"/>
    <w:rsid w:val="00047F22"/>
    <w:rsid w:val="000506AA"/>
    <w:rsid w:val="000518FD"/>
    <w:rsid w:val="00051A56"/>
    <w:rsid w:val="00051B5C"/>
    <w:rsid w:val="00051E4D"/>
    <w:rsid w:val="00052466"/>
    <w:rsid w:val="000524E8"/>
    <w:rsid w:val="00052B1B"/>
    <w:rsid w:val="00053AD5"/>
    <w:rsid w:val="00054A71"/>
    <w:rsid w:val="0005683C"/>
    <w:rsid w:val="00060E15"/>
    <w:rsid w:val="0006137A"/>
    <w:rsid w:val="00061FE1"/>
    <w:rsid w:val="00062357"/>
    <w:rsid w:val="000627D0"/>
    <w:rsid w:val="000663BE"/>
    <w:rsid w:val="00066414"/>
    <w:rsid w:val="000670CE"/>
    <w:rsid w:val="00067E2C"/>
    <w:rsid w:val="00067F0E"/>
    <w:rsid w:val="00070F96"/>
    <w:rsid w:val="0007333F"/>
    <w:rsid w:val="000738E4"/>
    <w:rsid w:val="00074214"/>
    <w:rsid w:val="00075BD1"/>
    <w:rsid w:val="00076B4D"/>
    <w:rsid w:val="000834E1"/>
    <w:rsid w:val="00084039"/>
    <w:rsid w:val="00084CAB"/>
    <w:rsid w:val="00084CC2"/>
    <w:rsid w:val="00085CA9"/>
    <w:rsid w:val="00086763"/>
    <w:rsid w:val="000918AF"/>
    <w:rsid w:val="00094C66"/>
    <w:rsid w:val="00095E49"/>
    <w:rsid w:val="0009657E"/>
    <w:rsid w:val="0009737E"/>
    <w:rsid w:val="000A1008"/>
    <w:rsid w:val="000A110E"/>
    <w:rsid w:val="000A5EDC"/>
    <w:rsid w:val="000A729A"/>
    <w:rsid w:val="000B025A"/>
    <w:rsid w:val="000B2ED1"/>
    <w:rsid w:val="000B3130"/>
    <w:rsid w:val="000B3731"/>
    <w:rsid w:val="000B43B8"/>
    <w:rsid w:val="000B489C"/>
    <w:rsid w:val="000B4FB1"/>
    <w:rsid w:val="000B50FF"/>
    <w:rsid w:val="000B6DC1"/>
    <w:rsid w:val="000B7CA2"/>
    <w:rsid w:val="000C0083"/>
    <w:rsid w:val="000C1E9B"/>
    <w:rsid w:val="000C3EE7"/>
    <w:rsid w:val="000D45EA"/>
    <w:rsid w:val="000D4B1F"/>
    <w:rsid w:val="000D5611"/>
    <w:rsid w:val="000E2054"/>
    <w:rsid w:val="000E256C"/>
    <w:rsid w:val="000E4512"/>
    <w:rsid w:val="000E78AA"/>
    <w:rsid w:val="000F39AE"/>
    <w:rsid w:val="000F5738"/>
    <w:rsid w:val="001014D5"/>
    <w:rsid w:val="001030FF"/>
    <w:rsid w:val="001042E0"/>
    <w:rsid w:val="00106245"/>
    <w:rsid w:val="0011029C"/>
    <w:rsid w:val="00112A1C"/>
    <w:rsid w:val="0011546D"/>
    <w:rsid w:val="00117409"/>
    <w:rsid w:val="0012103C"/>
    <w:rsid w:val="00121F8B"/>
    <w:rsid w:val="00123791"/>
    <w:rsid w:val="001249A8"/>
    <w:rsid w:val="001249D4"/>
    <w:rsid w:val="00124B9D"/>
    <w:rsid w:val="001259ED"/>
    <w:rsid w:val="00126D52"/>
    <w:rsid w:val="00126DD7"/>
    <w:rsid w:val="0012761E"/>
    <w:rsid w:val="00127AE2"/>
    <w:rsid w:val="00130851"/>
    <w:rsid w:val="00130AC2"/>
    <w:rsid w:val="00131470"/>
    <w:rsid w:val="00132508"/>
    <w:rsid w:val="001333AB"/>
    <w:rsid w:val="0013478E"/>
    <w:rsid w:val="00134CBD"/>
    <w:rsid w:val="0013616D"/>
    <w:rsid w:val="001376AB"/>
    <w:rsid w:val="00137B39"/>
    <w:rsid w:val="00137E86"/>
    <w:rsid w:val="0014184D"/>
    <w:rsid w:val="00142B38"/>
    <w:rsid w:val="00144BEC"/>
    <w:rsid w:val="00145C66"/>
    <w:rsid w:val="00146330"/>
    <w:rsid w:val="0014654A"/>
    <w:rsid w:val="00153E4C"/>
    <w:rsid w:val="00155254"/>
    <w:rsid w:val="00155CF0"/>
    <w:rsid w:val="001562FB"/>
    <w:rsid w:val="00157AEF"/>
    <w:rsid w:val="00160B10"/>
    <w:rsid w:val="001628B4"/>
    <w:rsid w:val="00164328"/>
    <w:rsid w:val="00164800"/>
    <w:rsid w:val="0016503D"/>
    <w:rsid w:val="001658FE"/>
    <w:rsid w:val="00165DAB"/>
    <w:rsid w:val="001672D3"/>
    <w:rsid w:val="00167E6C"/>
    <w:rsid w:val="00177C6F"/>
    <w:rsid w:val="001806CF"/>
    <w:rsid w:val="00182019"/>
    <w:rsid w:val="0018231A"/>
    <w:rsid w:val="001843CE"/>
    <w:rsid w:val="0018494C"/>
    <w:rsid w:val="00190F8A"/>
    <w:rsid w:val="00192509"/>
    <w:rsid w:val="00194D16"/>
    <w:rsid w:val="00194DF5"/>
    <w:rsid w:val="00197196"/>
    <w:rsid w:val="001A0930"/>
    <w:rsid w:val="001A0B60"/>
    <w:rsid w:val="001A28E5"/>
    <w:rsid w:val="001A2A83"/>
    <w:rsid w:val="001A351B"/>
    <w:rsid w:val="001A3A03"/>
    <w:rsid w:val="001A3B79"/>
    <w:rsid w:val="001A417C"/>
    <w:rsid w:val="001A45B9"/>
    <w:rsid w:val="001A7044"/>
    <w:rsid w:val="001A77E9"/>
    <w:rsid w:val="001A7C8B"/>
    <w:rsid w:val="001B19ED"/>
    <w:rsid w:val="001B359D"/>
    <w:rsid w:val="001B3616"/>
    <w:rsid w:val="001B63BF"/>
    <w:rsid w:val="001B7569"/>
    <w:rsid w:val="001C0D7C"/>
    <w:rsid w:val="001C1A3E"/>
    <w:rsid w:val="001C27C7"/>
    <w:rsid w:val="001C29A4"/>
    <w:rsid w:val="001C316C"/>
    <w:rsid w:val="001C45DE"/>
    <w:rsid w:val="001C4B9E"/>
    <w:rsid w:val="001C4C7B"/>
    <w:rsid w:val="001C5638"/>
    <w:rsid w:val="001C5BE3"/>
    <w:rsid w:val="001C726B"/>
    <w:rsid w:val="001D4A4A"/>
    <w:rsid w:val="001D5B15"/>
    <w:rsid w:val="001E108B"/>
    <w:rsid w:val="001E23E7"/>
    <w:rsid w:val="001E2668"/>
    <w:rsid w:val="001E4074"/>
    <w:rsid w:val="001E540E"/>
    <w:rsid w:val="001E582E"/>
    <w:rsid w:val="001E61C7"/>
    <w:rsid w:val="001E6968"/>
    <w:rsid w:val="001E72B0"/>
    <w:rsid w:val="001E7784"/>
    <w:rsid w:val="001F021E"/>
    <w:rsid w:val="001F18B1"/>
    <w:rsid w:val="001F2892"/>
    <w:rsid w:val="001F2D90"/>
    <w:rsid w:val="001F381F"/>
    <w:rsid w:val="001F3DDA"/>
    <w:rsid w:val="001F4721"/>
    <w:rsid w:val="001F57FB"/>
    <w:rsid w:val="001F62D6"/>
    <w:rsid w:val="001F6A1C"/>
    <w:rsid w:val="001F6AF1"/>
    <w:rsid w:val="001F77E9"/>
    <w:rsid w:val="00200F01"/>
    <w:rsid w:val="00201E83"/>
    <w:rsid w:val="002020CB"/>
    <w:rsid w:val="0020292A"/>
    <w:rsid w:val="002039E8"/>
    <w:rsid w:val="00203C73"/>
    <w:rsid w:val="002042BF"/>
    <w:rsid w:val="00204973"/>
    <w:rsid w:val="002055CC"/>
    <w:rsid w:val="00205ADF"/>
    <w:rsid w:val="00206B3E"/>
    <w:rsid w:val="002075B1"/>
    <w:rsid w:val="00207790"/>
    <w:rsid w:val="00207A2A"/>
    <w:rsid w:val="002116B7"/>
    <w:rsid w:val="00211E45"/>
    <w:rsid w:val="00212355"/>
    <w:rsid w:val="00215016"/>
    <w:rsid w:val="002151CF"/>
    <w:rsid w:val="00215DBC"/>
    <w:rsid w:val="0021704F"/>
    <w:rsid w:val="002212DE"/>
    <w:rsid w:val="002233A9"/>
    <w:rsid w:val="00223EAE"/>
    <w:rsid w:val="00224561"/>
    <w:rsid w:val="002257AC"/>
    <w:rsid w:val="00225980"/>
    <w:rsid w:val="00226914"/>
    <w:rsid w:val="002269EF"/>
    <w:rsid w:val="00227314"/>
    <w:rsid w:val="002300BF"/>
    <w:rsid w:val="00231596"/>
    <w:rsid w:val="00232B16"/>
    <w:rsid w:val="00235A76"/>
    <w:rsid w:val="00236652"/>
    <w:rsid w:val="00236E28"/>
    <w:rsid w:val="00240DD5"/>
    <w:rsid w:val="00241101"/>
    <w:rsid w:val="002417AB"/>
    <w:rsid w:val="00245F08"/>
    <w:rsid w:val="002460BD"/>
    <w:rsid w:val="00250DE4"/>
    <w:rsid w:val="002516D6"/>
    <w:rsid w:val="00251B35"/>
    <w:rsid w:val="002521A1"/>
    <w:rsid w:val="00254095"/>
    <w:rsid w:val="00255B1F"/>
    <w:rsid w:val="002568D2"/>
    <w:rsid w:val="00256AFF"/>
    <w:rsid w:val="00257361"/>
    <w:rsid w:val="0026304B"/>
    <w:rsid w:val="0026394B"/>
    <w:rsid w:val="0026561C"/>
    <w:rsid w:val="00265886"/>
    <w:rsid w:val="00265A2E"/>
    <w:rsid w:val="00265A96"/>
    <w:rsid w:val="0026717E"/>
    <w:rsid w:val="00270034"/>
    <w:rsid w:val="002707A0"/>
    <w:rsid w:val="00270BA5"/>
    <w:rsid w:val="00271028"/>
    <w:rsid w:val="002713FB"/>
    <w:rsid w:val="0027164E"/>
    <w:rsid w:val="002717D2"/>
    <w:rsid w:val="002726FD"/>
    <w:rsid w:val="002729D3"/>
    <w:rsid w:val="00275CEE"/>
    <w:rsid w:val="0027638B"/>
    <w:rsid w:val="0027761B"/>
    <w:rsid w:val="00277D81"/>
    <w:rsid w:val="00280147"/>
    <w:rsid w:val="00280D13"/>
    <w:rsid w:val="00282A5D"/>
    <w:rsid w:val="00282B96"/>
    <w:rsid w:val="00294667"/>
    <w:rsid w:val="00294E38"/>
    <w:rsid w:val="002953E8"/>
    <w:rsid w:val="002960DE"/>
    <w:rsid w:val="0029645D"/>
    <w:rsid w:val="002972D0"/>
    <w:rsid w:val="00297CBC"/>
    <w:rsid w:val="002A03B2"/>
    <w:rsid w:val="002A0F06"/>
    <w:rsid w:val="002A2219"/>
    <w:rsid w:val="002A373E"/>
    <w:rsid w:val="002A3C3E"/>
    <w:rsid w:val="002A5346"/>
    <w:rsid w:val="002A53E8"/>
    <w:rsid w:val="002A6D2E"/>
    <w:rsid w:val="002A76F9"/>
    <w:rsid w:val="002B2373"/>
    <w:rsid w:val="002B746A"/>
    <w:rsid w:val="002B773B"/>
    <w:rsid w:val="002B7ADF"/>
    <w:rsid w:val="002C0A01"/>
    <w:rsid w:val="002C1270"/>
    <w:rsid w:val="002C2A8D"/>
    <w:rsid w:val="002C4114"/>
    <w:rsid w:val="002C50BA"/>
    <w:rsid w:val="002C59E6"/>
    <w:rsid w:val="002C5D1F"/>
    <w:rsid w:val="002C5F03"/>
    <w:rsid w:val="002C67F8"/>
    <w:rsid w:val="002C7EA3"/>
    <w:rsid w:val="002D012A"/>
    <w:rsid w:val="002D03D1"/>
    <w:rsid w:val="002D29F0"/>
    <w:rsid w:val="002D3F78"/>
    <w:rsid w:val="002D61A3"/>
    <w:rsid w:val="002E0248"/>
    <w:rsid w:val="002E03FF"/>
    <w:rsid w:val="002E21FC"/>
    <w:rsid w:val="002E565D"/>
    <w:rsid w:val="002E6EFC"/>
    <w:rsid w:val="002E747B"/>
    <w:rsid w:val="002E78AE"/>
    <w:rsid w:val="002E7CD1"/>
    <w:rsid w:val="002F1385"/>
    <w:rsid w:val="002F1978"/>
    <w:rsid w:val="002F353E"/>
    <w:rsid w:val="002F3CBF"/>
    <w:rsid w:val="002F4EF6"/>
    <w:rsid w:val="002F560E"/>
    <w:rsid w:val="002F58BE"/>
    <w:rsid w:val="002F68FF"/>
    <w:rsid w:val="002F6E3B"/>
    <w:rsid w:val="002F7697"/>
    <w:rsid w:val="00300ECD"/>
    <w:rsid w:val="00301842"/>
    <w:rsid w:val="003019EB"/>
    <w:rsid w:val="00301DCE"/>
    <w:rsid w:val="00301FDC"/>
    <w:rsid w:val="00302910"/>
    <w:rsid w:val="0030350D"/>
    <w:rsid w:val="00304203"/>
    <w:rsid w:val="00305476"/>
    <w:rsid w:val="00305BA4"/>
    <w:rsid w:val="00305D3E"/>
    <w:rsid w:val="0030616E"/>
    <w:rsid w:val="0030708D"/>
    <w:rsid w:val="0030756A"/>
    <w:rsid w:val="0031097B"/>
    <w:rsid w:val="00311A65"/>
    <w:rsid w:val="0031200B"/>
    <w:rsid w:val="00312FBD"/>
    <w:rsid w:val="003136E9"/>
    <w:rsid w:val="00313809"/>
    <w:rsid w:val="003145F1"/>
    <w:rsid w:val="00316B84"/>
    <w:rsid w:val="00320028"/>
    <w:rsid w:val="003201C1"/>
    <w:rsid w:val="00324A04"/>
    <w:rsid w:val="003250FB"/>
    <w:rsid w:val="00325CFA"/>
    <w:rsid w:val="0032601C"/>
    <w:rsid w:val="00331B83"/>
    <w:rsid w:val="00332283"/>
    <w:rsid w:val="00335B8F"/>
    <w:rsid w:val="00336F30"/>
    <w:rsid w:val="00337240"/>
    <w:rsid w:val="00337FE8"/>
    <w:rsid w:val="003428A3"/>
    <w:rsid w:val="00342D88"/>
    <w:rsid w:val="00342EAF"/>
    <w:rsid w:val="00342F74"/>
    <w:rsid w:val="00343E39"/>
    <w:rsid w:val="00344CFB"/>
    <w:rsid w:val="0034563D"/>
    <w:rsid w:val="003456C0"/>
    <w:rsid w:val="00351150"/>
    <w:rsid w:val="00352CE1"/>
    <w:rsid w:val="003557A9"/>
    <w:rsid w:val="00355D80"/>
    <w:rsid w:val="0035736C"/>
    <w:rsid w:val="003579B4"/>
    <w:rsid w:val="00357C81"/>
    <w:rsid w:val="00360460"/>
    <w:rsid w:val="0036072F"/>
    <w:rsid w:val="003620B5"/>
    <w:rsid w:val="00362AD1"/>
    <w:rsid w:val="00362B48"/>
    <w:rsid w:val="003633D0"/>
    <w:rsid w:val="00363B72"/>
    <w:rsid w:val="003644A0"/>
    <w:rsid w:val="0036508D"/>
    <w:rsid w:val="00365646"/>
    <w:rsid w:val="00366F09"/>
    <w:rsid w:val="0036793C"/>
    <w:rsid w:val="0037016C"/>
    <w:rsid w:val="00370D4D"/>
    <w:rsid w:val="0037444E"/>
    <w:rsid w:val="00374A99"/>
    <w:rsid w:val="0037664A"/>
    <w:rsid w:val="00376A69"/>
    <w:rsid w:val="00376FA7"/>
    <w:rsid w:val="0037734E"/>
    <w:rsid w:val="0037779C"/>
    <w:rsid w:val="0037785B"/>
    <w:rsid w:val="00380F5D"/>
    <w:rsid w:val="00383EA9"/>
    <w:rsid w:val="0038527D"/>
    <w:rsid w:val="00386029"/>
    <w:rsid w:val="00387E5F"/>
    <w:rsid w:val="0039148B"/>
    <w:rsid w:val="003917BC"/>
    <w:rsid w:val="00391AD6"/>
    <w:rsid w:val="003930F4"/>
    <w:rsid w:val="00395E83"/>
    <w:rsid w:val="00396B87"/>
    <w:rsid w:val="00397795"/>
    <w:rsid w:val="00397E16"/>
    <w:rsid w:val="00397E90"/>
    <w:rsid w:val="003A183B"/>
    <w:rsid w:val="003A6898"/>
    <w:rsid w:val="003B1CC4"/>
    <w:rsid w:val="003B24AD"/>
    <w:rsid w:val="003B31EE"/>
    <w:rsid w:val="003B4E09"/>
    <w:rsid w:val="003B56FD"/>
    <w:rsid w:val="003C016C"/>
    <w:rsid w:val="003C2C2D"/>
    <w:rsid w:val="003C3A9B"/>
    <w:rsid w:val="003C431E"/>
    <w:rsid w:val="003C47EC"/>
    <w:rsid w:val="003C5F66"/>
    <w:rsid w:val="003C6184"/>
    <w:rsid w:val="003C6834"/>
    <w:rsid w:val="003C6DDB"/>
    <w:rsid w:val="003C6E38"/>
    <w:rsid w:val="003C7618"/>
    <w:rsid w:val="003C7AC9"/>
    <w:rsid w:val="003D0092"/>
    <w:rsid w:val="003D0146"/>
    <w:rsid w:val="003D05FD"/>
    <w:rsid w:val="003D1115"/>
    <w:rsid w:val="003D3583"/>
    <w:rsid w:val="003D3652"/>
    <w:rsid w:val="003D40EA"/>
    <w:rsid w:val="003D65B1"/>
    <w:rsid w:val="003D6DF8"/>
    <w:rsid w:val="003D7CC5"/>
    <w:rsid w:val="003E043E"/>
    <w:rsid w:val="003E0565"/>
    <w:rsid w:val="003E118F"/>
    <w:rsid w:val="003E27FA"/>
    <w:rsid w:val="003E2C2A"/>
    <w:rsid w:val="003E361F"/>
    <w:rsid w:val="003E43AF"/>
    <w:rsid w:val="003E67C4"/>
    <w:rsid w:val="003E746C"/>
    <w:rsid w:val="003F0261"/>
    <w:rsid w:val="003F0966"/>
    <w:rsid w:val="003F2120"/>
    <w:rsid w:val="003F2F68"/>
    <w:rsid w:val="003F341B"/>
    <w:rsid w:val="003F44AD"/>
    <w:rsid w:val="003F4C15"/>
    <w:rsid w:val="003F50BD"/>
    <w:rsid w:val="003F5ADA"/>
    <w:rsid w:val="003F710C"/>
    <w:rsid w:val="003F79BE"/>
    <w:rsid w:val="003F7CA5"/>
    <w:rsid w:val="0040043F"/>
    <w:rsid w:val="004008C8"/>
    <w:rsid w:val="004012AB"/>
    <w:rsid w:val="004018B0"/>
    <w:rsid w:val="00402BA4"/>
    <w:rsid w:val="004048D6"/>
    <w:rsid w:val="00405E6B"/>
    <w:rsid w:val="0040756A"/>
    <w:rsid w:val="00410069"/>
    <w:rsid w:val="00410ACC"/>
    <w:rsid w:val="00411273"/>
    <w:rsid w:val="00411635"/>
    <w:rsid w:val="0041234C"/>
    <w:rsid w:val="00416365"/>
    <w:rsid w:val="0041653E"/>
    <w:rsid w:val="0041692E"/>
    <w:rsid w:val="00416F47"/>
    <w:rsid w:val="0041705A"/>
    <w:rsid w:val="00417B9B"/>
    <w:rsid w:val="004219D8"/>
    <w:rsid w:val="004228C6"/>
    <w:rsid w:val="0042435E"/>
    <w:rsid w:val="0042579C"/>
    <w:rsid w:val="004257B2"/>
    <w:rsid w:val="00425C4F"/>
    <w:rsid w:val="0042640A"/>
    <w:rsid w:val="00427192"/>
    <w:rsid w:val="00427B61"/>
    <w:rsid w:val="00427B76"/>
    <w:rsid w:val="00430E2E"/>
    <w:rsid w:val="00432342"/>
    <w:rsid w:val="00433657"/>
    <w:rsid w:val="00435615"/>
    <w:rsid w:val="004363D8"/>
    <w:rsid w:val="00437D10"/>
    <w:rsid w:val="00437D1D"/>
    <w:rsid w:val="00437F88"/>
    <w:rsid w:val="00441806"/>
    <w:rsid w:val="00442265"/>
    <w:rsid w:val="00442EC2"/>
    <w:rsid w:val="004438E9"/>
    <w:rsid w:val="00443B2F"/>
    <w:rsid w:val="00446782"/>
    <w:rsid w:val="00446D5A"/>
    <w:rsid w:val="00451F98"/>
    <w:rsid w:val="00451FD5"/>
    <w:rsid w:val="004522DF"/>
    <w:rsid w:val="00453D2C"/>
    <w:rsid w:val="0045400B"/>
    <w:rsid w:val="00455457"/>
    <w:rsid w:val="00457466"/>
    <w:rsid w:val="004607AE"/>
    <w:rsid w:val="00463EB0"/>
    <w:rsid w:val="00464ADC"/>
    <w:rsid w:val="00466537"/>
    <w:rsid w:val="004675F5"/>
    <w:rsid w:val="00467EE2"/>
    <w:rsid w:val="00470422"/>
    <w:rsid w:val="004705BC"/>
    <w:rsid w:val="00470C23"/>
    <w:rsid w:val="00470F7A"/>
    <w:rsid w:val="00471C0E"/>
    <w:rsid w:val="0047254E"/>
    <w:rsid w:val="004728E1"/>
    <w:rsid w:val="004735F2"/>
    <w:rsid w:val="00473C10"/>
    <w:rsid w:val="0047472C"/>
    <w:rsid w:val="00476B8B"/>
    <w:rsid w:val="00482B85"/>
    <w:rsid w:val="00484370"/>
    <w:rsid w:val="00485E83"/>
    <w:rsid w:val="00485FAA"/>
    <w:rsid w:val="00491BB7"/>
    <w:rsid w:val="00491C92"/>
    <w:rsid w:val="004944EF"/>
    <w:rsid w:val="00495155"/>
    <w:rsid w:val="004955AF"/>
    <w:rsid w:val="004959BC"/>
    <w:rsid w:val="00496B60"/>
    <w:rsid w:val="00496D74"/>
    <w:rsid w:val="00497599"/>
    <w:rsid w:val="004A0A4D"/>
    <w:rsid w:val="004A2E28"/>
    <w:rsid w:val="004A3F4C"/>
    <w:rsid w:val="004A5359"/>
    <w:rsid w:val="004A6A49"/>
    <w:rsid w:val="004A6BE6"/>
    <w:rsid w:val="004A7893"/>
    <w:rsid w:val="004B02F4"/>
    <w:rsid w:val="004B138B"/>
    <w:rsid w:val="004B1993"/>
    <w:rsid w:val="004B1A03"/>
    <w:rsid w:val="004B1CF2"/>
    <w:rsid w:val="004B2077"/>
    <w:rsid w:val="004B4564"/>
    <w:rsid w:val="004B4B81"/>
    <w:rsid w:val="004B50D6"/>
    <w:rsid w:val="004B5996"/>
    <w:rsid w:val="004B62D6"/>
    <w:rsid w:val="004C2BD9"/>
    <w:rsid w:val="004C3163"/>
    <w:rsid w:val="004C597D"/>
    <w:rsid w:val="004C5E2D"/>
    <w:rsid w:val="004C6869"/>
    <w:rsid w:val="004C725F"/>
    <w:rsid w:val="004C7288"/>
    <w:rsid w:val="004D0408"/>
    <w:rsid w:val="004D16BD"/>
    <w:rsid w:val="004D19AB"/>
    <w:rsid w:val="004D2278"/>
    <w:rsid w:val="004D2D10"/>
    <w:rsid w:val="004D3066"/>
    <w:rsid w:val="004D30FA"/>
    <w:rsid w:val="004D384C"/>
    <w:rsid w:val="004D42A3"/>
    <w:rsid w:val="004D5BD9"/>
    <w:rsid w:val="004D65D5"/>
    <w:rsid w:val="004E0543"/>
    <w:rsid w:val="004E0C24"/>
    <w:rsid w:val="004E15A3"/>
    <w:rsid w:val="004E22D0"/>
    <w:rsid w:val="004E22EF"/>
    <w:rsid w:val="004E351D"/>
    <w:rsid w:val="004E3CDF"/>
    <w:rsid w:val="004E4C3E"/>
    <w:rsid w:val="004E52C4"/>
    <w:rsid w:val="004E5F4A"/>
    <w:rsid w:val="004E6635"/>
    <w:rsid w:val="004E7835"/>
    <w:rsid w:val="004E7ADF"/>
    <w:rsid w:val="004F199B"/>
    <w:rsid w:val="004F1A4C"/>
    <w:rsid w:val="004F2929"/>
    <w:rsid w:val="004F2D98"/>
    <w:rsid w:val="004F3E22"/>
    <w:rsid w:val="004F3E24"/>
    <w:rsid w:val="004F4719"/>
    <w:rsid w:val="004F49B5"/>
    <w:rsid w:val="004F63D6"/>
    <w:rsid w:val="004F7332"/>
    <w:rsid w:val="004F7EFE"/>
    <w:rsid w:val="00501D8E"/>
    <w:rsid w:val="00501E77"/>
    <w:rsid w:val="00502978"/>
    <w:rsid w:val="00502AA1"/>
    <w:rsid w:val="00505E94"/>
    <w:rsid w:val="005070AA"/>
    <w:rsid w:val="00507E18"/>
    <w:rsid w:val="005103A0"/>
    <w:rsid w:val="005111AD"/>
    <w:rsid w:val="0051141C"/>
    <w:rsid w:val="00514544"/>
    <w:rsid w:val="0051511D"/>
    <w:rsid w:val="00515AE5"/>
    <w:rsid w:val="00516C20"/>
    <w:rsid w:val="00516DAD"/>
    <w:rsid w:val="00516FCD"/>
    <w:rsid w:val="005200F4"/>
    <w:rsid w:val="005225FA"/>
    <w:rsid w:val="005248E6"/>
    <w:rsid w:val="00525172"/>
    <w:rsid w:val="00525228"/>
    <w:rsid w:val="00532066"/>
    <w:rsid w:val="00533E1D"/>
    <w:rsid w:val="00535181"/>
    <w:rsid w:val="00535C46"/>
    <w:rsid w:val="00540850"/>
    <w:rsid w:val="00541FC8"/>
    <w:rsid w:val="00543E72"/>
    <w:rsid w:val="005457F5"/>
    <w:rsid w:val="005461BA"/>
    <w:rsid w:val="00546607"/>
    <w:rsid w:val="00547DFD"/>
    <w:rsid w:val="005522D0"/>
    <w:rsid w:val="00552727"/>
    <w:rsid w:val="005528E3"/>
    <w:rsid w:val="0055358F"/>
    <w:rsid w:val="00554ECA"/>
    <w:rsid w:val="005550FF"/>
    <w:rsid w:val="00557FA5"/>
    <w:rsid w:val="0056038D"/>
    <w:rsid w:val="00561EEE"/>
    <w:rsid w:val="0056392D"/>
    <w:rsid w:val="00567571"/>
    <w:rsid w:val="00567A97"/>
    <w:rsid w:val="00567CF5"/>
    <w:rsid w:val="00572AD9"/>
    <w:rsid w:val="00572D2E"/>
    <w:rsid w:val="00574519"/>
    <w:rsid w:val="00574B5B"/>
    <w:rsid w:val="00577BD5"/>
    <w:rsid w:val="00577CF4"/>
    <w:rsid w:val="00581414"/>
    <w:rsid w:val="00583699"/>
    <w:rsid w:val="0058400B"/>
    <w:rsid w:val="0058441F"/>
    <w:rsid w:val="0058536E"/>
    <w:rsid w:val="0058603E"/>
    <w:rsid w:val="00587931"/>
    <w:rsid w:val="005879C8"/>
    <w:rsid w:val="00587A76"/>
    <w:rsid w:val="00590B22"/>
    <w:rsid w:val="00592F80"/>
    <w:rsid w:val="00593A61"/>
    <w:rsid w:val="0059424C"/>
    <w:rsid w:val="00594AB5"/>
    <w:rsid w:val="005A4E98"/>
    <w:rsid w:val="005A75CC"/>
    <w:rsid w:val="005B0669"/>
    <w:rsid w:val="005B2412"/>
    <w:rsid w:val="005B7F24"/>
    <w:rsid w:val="005C0E44"/>
    <w:rsid w:val="005C2CD3"/>
    <w:rsid w:val="005C4221"/>
    <w:rsid w:val="005C51E0"/>
    <w:rsid w:val="005C53BB"/>
    <w:rsid w:val="005C540B"/>
    <w:rsid w:val="005C68A1"/>
    <w:rsid w:val="005C6B35"/>
    <w:rsid w:val="005C70EB"/>
    <w:rsid w:val="005C7C32"/>
    <w:rsid w:val="005D0A43"/>
    <w:rsid w:val="005D1387"/>
    <w:rsid w:val="005D147B"/>
    <w:rsid w:val="005D1BCB"/>
    <w:rsid w:val="005D1C5E"/>
    <w:rsid w:val="005D1FE8"/>
    <w:rsid w:val="005D2D74"/>
    <w:rsid w:val="005D3D36"/>
    <w:rsid w:val="005D5E8A"/>
    <w:rsid w:val="005D6283"/>
    <w:rsid w:val="005D629F"/>
    <w:rsid w:val="005D732D"/>
    <w:rsid w:val="005D7804"/>
    <w:rsid w:val="005D797B"/>
    <w:rsid w:val="005E43EF"/>
    <w:rsid w:val="005E4638"/>
    <w:rsid w:val="005E5B91"/>
    <w:rsid w:val="005E604A"/>
    <w:rsid w:val="005E6E01"/>
    <w:rsid w:val="005F1378"/>
    <w:rsid w:val="005F3FEC"/>
    <w:rsid w:val="005F4642"/>
    <w:rsid w:val="00600A0E"/>
    <w:rsid w:val="006026B4"/>
    <w:rsid w:val="006027D6"/>
    <w:rsid w:val="00605D1F"/>
    <w:rsid w:val="006074B7"/>
    <w:rsid w:val="00607D02"/>
    <w:rsid w:val="00607E12"/>
    <w:rsid w:val="00613C67"/>
    <w:rsid w:val="00615287"/>
    <w:rsid w:val="006166A6"/>
    <w:rsid w:val="00616F31"/>
    <w:rsid w:val="00620814"/>
    <w:rsid w:val="0062204C"/>
    <w:rsid w:val="00622211"/>
    <w:rsid w:val="006222F8"/>
    <w:rsid w:val="006228ED"/>
    <w:rsid w:val="00625064"/>
    <w:rsid w:val="00625348"/>
    <w:rsid w:val="006256D4"/>
    <w:rsid w:val="00626491"/>
    <w:rsid w:val="006274CC"/>
    <w:rsid w:val="00627763"/>
    <w:rsid w:val="00630414"/>
    <w:rsid w:val="00630E40"/>
    <w:rsid w:val="0063102D"/>
    <w:rsid w:val="00632B3B"/>
    <w:rsid w:val="00633322"/>
    <w:rsid w:val="0063501A"/>
    <w:rsid w:val="006402EC"/>
    <w:rsid w:val="00640BDC"/>
    <w:rsid w:val="00642A2E"/>
    <w:rsid w:val="006444EF"/>
    <w:rsid w:val="00645099"/>
    <w:rsid w:val="006451C0"/>
    <w:rsid w:val="00645BA1"/>
    <w:rsid w:val="00645EAC"/>
    <w:rsid w:val="00646891"/>
    <w:rsid w:val="006518FB"/>
    <w:rsid w:val="0065219C"/>
    <w:rsid w:val="0065239B"/>
    <w:rsid w:val="00652A99"/>
    <w:rsid w:val="00656DCA"/>
    <w:rsid w:val="00657AEE"/>
    <w:rsid w:val="00660C3F"/>
    <w:rsid w:val="00660F55"/>
    <w:rsid w:val="00660F8B"/>
    <w:rsid w:val="00662E92"/>
    <w:rsid w:val="006630FC"/>
    <w:rsid w:val="006656A3"/>
    <w:rsid w:val="00665726"/>
    <w:rsid w:val="006663D7"/>
    <w:rsid w:val="00666BE5"/>
    <w:rsid w:val="00671C58"/>
    <w:rsid w:val="00672724"/>
    <w:rsid w:val="006749FB"/>
    <w:rsid w:val="00674E33"/>
    <w:rsid w:val="00674E9B"/>
    <w:rsid w:val="0068149B"/>
    <w:rsid w:val="00684F02"/>
    <w:rsid w:val="0068570B"/>
    <w:rsid w:val="00692942"/>
    <w:rsid w:val="00694D84"/>
    <w:rsid w:val="00696039"/>
    <w:rsid w:val="00696F42"/>
    <w:rsid w:val="00697C1D"/>
    <w:rsid w:val="006A0661"/>
    <w:rsid w:val="006A1EC9"/>
    <w:rsid w:val="006A2B75"/>
    <w:rsid w:val="006A31D2"/>
    <w:rsid w:val="006A3768"/>
    <w:rsid w:val="006A3A1F"/>
    <w:rsid w:val="006A5CCF"/>
    <w:rsid w:val="006A6198"/>
    <w:rsid w:val="006A6D89"/>
    <w:rsid w:val="006A7648"/>
    <w:rsid w:val="006B0F5C"/>
    <w:rsid w:val="006B1BE2"/>
    <w:rsid w:val="006B353B"/>
    <w:rsid w:val="006B3B61"/>
    <w:rsid w:val="006B41D5"/>
    <w:rsid w:val="006B4902"/>
    <w:rsid w:val="006B5277"/>
    <w:rsid w:val="006B75F1"/>
    <w:rsid w:val="006B7771"/>
    <w:rsid w:val="006C0B4D"/>
    <w:rsid w:val="006C17EB"/>
    <w:rsid w:val="006C2982"/>
    <w:rsid w:val="006C369F"/>
    <w:rsid w:val="006C38B8"/>
    <w:rsid w:val="006C3CF4"/>
    <w:rsid w:val="006C491D"/>
    <w:rsid w:val="006C4B93"/>
    <w:rsid w:val="006C59FE"/>
    <w:rsid w:val="006C6295"/>
    <w:rsid w:val="006C6A73"/>
    <w:rsid w:val="006D19A2"/>
    <w:rsid w:val="006D2BEF"/>
    <w:rsid w:val="006D37A4"/>
    <w:rsid w:val="006D4885"/>
    <w:rsid w:val="006D5C60"/>
    <w:rsid w:val="006D5D4D"/>
    <w:rsid w:val="006D7875"/>
    <w:rsid w:val="006D7C18"/>
    <w:rsid w:val="006E2E53"/>
    <w:rsid w:val="006E339F"/>
    <w:rsid w:val="006E4B08"/>
    <w:rsid w:val="006F1B9E"/>
    <w:rsid w:val="006F21F3"/>
    <w:rsid w:val="006F242B"/>
    <w:rsid w:val="006F2D73"/>
    <w:rsid w:val="006F452F"/>
    <w:rsid w:val="006F49D7"/>
    <w:rsid w:val="006F5F70"/>
    <w:rsid w:val="006F6306"/>
    <w:rsid w:val="006F6CC9"/>
    <w:rsid w:val="006F7564"/>
    <w:rsid w:val="00700654"/>
    <w:rsid w:val="0070088D"/>
    <w:rsid w:val="00702B7E"/>
    <w:rsid w:val="00706460"/>
    <w:rsid w:val="007071E8"/>
    <w:rsid w:val="00707EF7"/>
    <w:rsid w:val="00710F06"/>
    <w:rsid w:val="007116D0"/>
    <w:rsid w:val="00712490"/>
    <w:rsid w:val="0071296D"/>
    <w:rsid w:val="0071621D"/>
    <w:rsid w:val="00716377"/>
    <w:rsid w:val="007174C1"/>
    <w:rsid w:val="0072123F"/>
    <w:rsid w:val="00721D51"/>
    <w:rsid w:val="00722DA9"/>
    <w:rsid w:val="0072343E"/>
    <w:rsid w:val="00723486"/>
    <w:rsid w:val="00725D7E"/>
    <w:rsid w:val="00730988"/>
    <w:rsid w:val="007311EA"/>
    <w:rsid w:val="0073125B"/>
    <w:rsid w:val="00732096"/>
    <w:rsid w:val="00732A53"/>
    <w:rsid w:val="00733908"/>
    <w:rsid w:val="00735F2A"/>
    <w:rsid w:val="00736A19"/>
    <w:rsid w:val="00736A71"/>
    <w:rsid w:val="00736D74"/>
    <w:rsid w:val="00736FB2"/>
    <w:rsid w:val="0074065D"/>
    <w:rsid w:val="007421EB"/>
    <w:rsid w:val="00742979"/>
    <w:rsid w:val="00742B13"/>
    <w:rsid w:val="00745180"/>
    <w:rsid w:val="00746197"/>
    <w:rsid w:val="00746470"/>
    <w:rsid w:val="0074766B"/>
    <w:rsid w:val="0075001C"/>
    <w:rsid w:val="00750A44"/>
    <w:rsid w:val="00752434"/>
    <w:rsid w:val="00754375"/>
    <w:rsid w:val="00755881"/>
    <w:rsid w:val="00755B35"/>
    <w:rsid w:val="00755ECB"/>
    <w:rsid w:val="00762822"/>
    <w:rsid w:val="00763BFD"/>
    <w:rsid w:val="00763CA5"/>
    <w:rsid w:val="00764114"/>
    <w:rsid w:val="0076572A"/>
    <w:rsid w:val="00766CFF"/>
    <w:rsid w:val="0076741D"/>
    <w:rsid w:val="00770E46"/>
    <w:rsid w:val="00772A57"/>
    <w:rsid w:val="00772F58"/>
    <w:rsid w:val="007748E1"/>
    <w:rsid w:val="007768BC"/>
    <w:rsid w:val="007804B7"/>
    <w:rsid w:val="007820C9"/>
    <w:rsid w:val="00782181"/>
    <w:rsid w:val="00785010"/>
    <w:rsid w:val="007875C1"/>
    <w:rsid w:val="007876EA"/>
    <w:rsid w:val="007900C1"/>
    <w:rsid w:val="007909E3"/>
    <w:rsid w:val="007909F0"/>
    <w:rsid w:val="00791B54"/>
    <w:rsid w:val="00792E61"/>
    <w:rsid w:val="007959BF"/>
    <w:rsid w:val="00795F34"/>
    <w:rsid w:val="00797112"/>
    <w:rsid w:val="00797F58"/>
    <w:rsid w:val="007A0729"/>
    <w:rsid w:val="007A22CF"/>
    <w:rsid w:val="007A2AD8"/>
    <w:rsid w:val="007A439E"/>
    <w:rsid w:val="007A44F5"/>
    <w:rsid w:val="007A50C1"/>
    <w:rsid w:val="007A61CF"/>
    <w:rsid w:val="007A7F18"/>
    <w:rsid w:val="007B2AE6"/>
    <w:rsid w:val="007B3A6C"/>
    <w:rsid w:val="007B4CAC"/>
    <w:rsid w:val="007C0276"/>
    <w:rsid w:val="007C02BD"/>
    <w:rsid w:val="007C2B89"/>
    <w:rsid w:val="007C3AD7"/>
    <w:rsid w:val="007C7B0F"/>
    <w:rsid w:val="007D0EC2"/>
    <w:rsid w:val="007D0F11"/>
    <w:rsid w:val="007D116A"/>
    <w:rsid w:val="007D4A3C"/>
    <w:rsid w:val="007D5E04"/>
    <w:rsid w:val="007D650D"/>
    <w:rsid w:val="007D6D97"/>
    <w:rsid w:val="007D7203"/>
    <w:rsid w:val="007D7DE3"/>
    <w:rsid w:val="007E03C5"/>
    <w:rsid w:val="007E07EE"/>
    <w:rsid w:val="007E1481"/>
    <w:rsid w:val="007E361F"/>
    <w:rsid w:val="007E3BAE"/>
    <w:rsid w:val="007E43A4"/>
    <w:rsid w:val="007E4AB2"/>
    <w:rsid w:val="007E4FE1"/>
    <w:rsid w:val="007E594D"/>
    <w:rsid w:val="007E5B0A"/>
    <w:rsid w:val="007E6F55"/>
    <w:rsid w:val="007F0FC3"/>
    <w:rsid w:val="007F1843"/>
    <w:rsid w:val="007F2AF0"/>
    <w:rsid w:val="007F2DA2"/>
    <w:rsid w:val="007F4170"/>
    <w:rsid w:val="007F4233"/>
    <w:rsid w:val="007F5516"/>
    <w:rsid w:val="007F7FC8"/>
    <w:rsid w:val="008004C9"/>
    <w:rsid w:val="00802F9A"/>
    <w:rsid w:val="00803AF5"/>
    <w:rsid w:val="00805F31"/>
    <w:rsid w:val="00807693"/>
    <w:rsid w:val="00813054"/>
    <w:rsid w:val="008140B1"/>
    <w:rsid w:val="00814CCF"/>
    <w:rsid w:val="008151FF"/>
    <w:rsid w:val="00816277"/>
    <w:rsid w:val="00816C24"/>
    <w:rsid w:val="00820023"/>
    <w:rsid w:val="008205C6"/>
    <w:rsid w:val="00820A9E"/>
    <w:rsid w:val="00821099"/>
    <w:rsid w:val="0082505D"/>
    <w:rsid w:val="0082653E"/>
    <w:rsid w:val="0083278B"/>
    <w:rsid w:val="0083313B"/>
    <w:rsid w:val="008337D0"/>
    <w:rsid w:val="00841EC4"/>
    <w:rsid w:val="00842EE5"/>
    <w:rsid w:val="00844488"/>
    <w:rsid w:val="008445B0"/>
    <w:rsid w:val="00845190"/>
    <w:rsid w:val="00846906"/>
    <w:rsid w:val="0085110B"/>
    <w:rsid w:val="008519C3"/>
    <w:rsid w:val="00852786"/>
    <w:rsid w:val="00854671"/>
    <w:rsid w:val="008561DD"/>
    <w:rsid w:val="008569CA"/>
    <w:rsid w:val="00856A4B"/>
    <w:rsid w:val="00857D8B"/>
    <w:rsid w:val="0086006E"/>
    <w:rsid w:val="008604E6"/>
    <w:rsid w:val="0086075F"/>
    <w:rsid w:val="00863309"/>
    <w:rsid w:val="00863D28"/>
    <w:rsid w:val="00864503"/>
    <w:rsid w:val="008648BC"/>
    <w:rsid w:val="008717B5"/>
    <w:rsid w:val="00871DD3"/>
    <w:rsid w:val="008720C7"/>
    <w:rsid w:val="00874395"/>
    <w:rsid w:val="00874727"/>
    <w:rsid w:val="008758B3"/>
    <w:rsid w:val="00882505"/>
    <w:rsid w:val="0088432E"/>
    <w:rsid w:val="00884536"/>
    <w:rsid w:val="00884F51"/>
    <w:rsid w:val="008852DE"/>
    <w:rsid w:val="008858FC"/>
    <w:rsid w:val="00885A1C"/>
    <w:rsid w:val="00885A2B"/>
    <w:rsid w:val="00885CC4"/>
    <w:rsid w:val="00886DBF"/>
    <w:rsid w:val="00892AB0"/>
    <w:rsid w:val="008933E1"/>
    <w:rsid w:val="0089630E"/>
    <w:rsid w:val="00897541"/>
    <w:rsid w:val="008A01BD"/>
    <w:rsid w:val="008A127D"/>
    <w:rsid w:val="008A2250"/>
    <w:rsid w:val="008A2922"/>
    <w:rsid w:val="008A4003"/>
    <w:rsid w:val="008A52E4"/>
    <w:rsid w:val="008A6417"/>
    <w:rsid w:val="008B09BE"/>
    <w:rsid w:val="008B1B50"/>
    <w:rsid w:val="008B3090"/>
    <w:rsid w:val="008B32CC"/>
    <w:rsid w:val="008B5193"/>
    <w:rsid w:val="008B5860"/>
    <w:rsid w:val="008B7162"/>
    <w:rsid w:val="008B7ABA"/>
    <w:rsid w:val="008B7C7C"/>
    <w:rsid w:val="008C506F"/>
    <w:rsid w:val="008D03AE"/>
    <w:rsid w:val="008D14AD"/>
    <w:rsid w:val="008D1C28"/>
    <w:rsid w:val="008D37DF"/>
    <w:rsid w:val="008D46E2"/>
    <w:rsid w:val="008D4CF0"/>
    <w:rsid w:val="008D5592"/>
    <w:rsid w:val="008D5D86"/>
    <w:rsid w:val="008D5FA4"/>
    <w:rsid w:val="008D7318"/>
    <w:rsid w:val="008E0149"/>
    <w:rsid w:val="008E0E73"/>
    <w:rsid w:val="008E2A06"/>
    <w:rsid w:val="008E2ACD"/>
    <w:rsid w:val="008E4CE8"/>
    <w:rsid w:val="008E5B54"/>
    <w:rsid w:val="008E6B2D"/>
    <w:rsid w:val="008E6F31"/>
    <w:rsid w:val="008E720D"/>
    <w:rsid w:val="008E721D"/>
    <w:rsid w:val="008F2384"/>
    <w:rsid w:val="008F4215"/>
    <w:rsid w:val="008F4D27"/>
    <w:rsid w:val="008F592E"/>
    <w:rsid w:val="00902E5E"/>
    <w:rsid w:val="00903A97"/>
    <w:rsid w:val="009069A1"/>
    <w:rsid w:val="00907D2B"/>
    <w:rsid w:val="00907F17"/>
    <w:rsid w:val="00910460"/>
    <w:rsid w:val="009107A0"/>
    <w:rsid w:val="00910C4D"/>
    <w:rsid w:val="0091698D"/>
    <w:rsid w:val="00916F99"/>
    <w:rsid w:val="00917972"/>
    <w:rsid w:val="009205B2"/>
    <w:rsid w:val="00923704"/>
    <w:rsid w:val="00927A21"/>
    <w:rsid w:val="0093175C"/>
    <w:rsid w:val="00931984"/>
    <w:rsid w:val="00931A11"/>
    <w:rsid w:val="00932A86"/>
    <w:rsid w:val="00933CC5"/>
    <w:rsid w:val="009345A0"/>
    <w:rsid w:val="009347FF"/>
    <w:rsid w:val="009348E4"/>
    <w:rsid w:val="0093671A"/>
    <w:rsid w:val="00937484"/>
    <w:rsid w:val="00937A5B"/>
    <w:rsid w:val="00943EC7"/>
    <w:rsid w:val="009446A2"/>
    <w:rsid w:val="009447DC"/>
    <w:rsid w:val="00944A8B"/>
    <w:rsid w:val="00944F73"/>
    <w:rsid w:val="00945653"/>
    <w:rsid w:val="00945CBE"/>
    <w:rsid w:val="00951E03"/>
    <w:rsid w:val="009520A8"/>
    <w:rsid w:val="00953005"/>
    <w:rsid w:val="0095423F"/>
    <w:rsid w:val="009552F0"/>
    <w:rsid w:val="00956666"/>
    <w:rsid w:val="009566BF"/>
    <w:rsid w:val="00956982"/>
    <w:rsid w:val="00957122"/>
    <w:rsid w:val="009608B6"/>
    <w:rsid w:val="00963BF5"/>
    <w:rsid w:val="00966537"/>
    <w:rsid w:val="00966FE0"/>
    <w:rsid w:val="0097056D"/>
    <w:rsid w:val="00971E7C"/>
    <w:rsid w:val="00975D80"/>
    <w:rsid w:val="009762EF"/>
    <w:rsid w:val="00976D3D"/>
    <w:rsid w:val="00977F1C"/>
    <w:rsid w:val="00980D77"/>
    <w:rsid w:val="00983267"/>
    <w:rsid w:val="0098436E"/>
    <w:rsid w:val="00984DDF"/>
    <w:rsid w:val="00984F33"/>
    <w:rsid w:val="009852C2"/>
    <w:rsid w:val="009854C1"/>
    <w:rsid w:val="00987AED"/>
    <w:rsid w:val="0099155F"/>
    <w:rsid w:val="00991F5C"/>
    <w:rsid w:val="00993C69"/>
    <w:rsid w:val="00995CB2"/>
    <w:rsid w:val="009976D9"/>
    <w:rsid w:val="009A177C"/>
    <w:rsid w:val="009A1AF7"/>
    <w:rsid w:val="009A227A"/>
    <w:rsid w:val="009A4556"/>
    <w:rsid w:val="009A45A9"/>
    <w:rsid w:val="009A649A"/>
    <w:rsid w:val="009A6566"/>
    <w:rsid w:val="009A6662"/>
    <w:rsid w:val="009A69F5"/>
    <w:rsid w:val="009A73C1"/>
    <w:rsid w:val="009A7CB1"/>
    <w:rsid w:val="009A7EF1"/>
    <w:rsid w:val="009B0FB1"/>
    <w:rsid w:val="009B2CB8"/>
    <w:rsid w:val="009B79C6"/>
    <w:rsid w:val="009C01BB"/>
    <w:rsid w:val="009C0EE1"/>
    <w:rsid w:val="009C1C5C"/>
    <w:rsid w:val="009C37E0"/>
    <w:rsid w:val="009C3E6B"/>
    <w:rsid w:val="009C6BFE"/>
    <w:rsid w:val="009D0770"/>
    <w:rsid w:val="009D19A6"/>
    <w:rsid w:val="009D24D1"/>
    <w:rsid w:val="009D289C"/>
    <w:rsid w:val="009D3A76"/>
    <w:rsid w:val="009D482F"/>
    <w:rsid w:val="009D509E"/>
    <w:rsid w:val="009D66A1"/>
    <w:rsid w:val="009E09C2"/>
    <w:rsid w:val="009E2EFF"/>
    <w:rsid w:val="009E3B8D"/>
    <w:rsid w:val="009E3C4E"/>
    <w:rsid w:val="009E4F0E"/>
    <w:rsid w:val="009E4FBE"/>
    <w:rsid w:val="009E5AA4"/>
    <w:rsid w:val="009E6DA9"/>
    <w:rsid w:val="009E780F"/>
    <w:rsid w:val="009E788C"/>
    <w:rsid w:val="009E7C4F"/>
    <w:rsid w:val="009F07FF"/>
    <w:rsid w:val="009F0FEC"/>
    <w:rsid w:val="009F1C6D"/>
    <w:rsid w:val="009F2F9F"/>
    <w:rsid w:val="009F434D"/>
    <w:rsid w:val="009F4C88"/>
    <w:rsid w:val="009F5D6E"/>
    <w:rsid w:val="00A004B6"/>
    <w:rsid w:val="00A00B72"/>
    <w:rsid w:val="00A0280C"/>
    <w:rsid w:val="00A04E2A"/>
    <w:rsid w:val="00A04FEA"/>
    <w:rsid w:val="00A05FFE"/>
    <w:rsid w:val="00A0732A"/>
    <w:rsid w:val="00A113AB"/>
    <w:rsid w:val="00A12AAD"/>
    <w:rsid w:val="00A15738"/>
    <w:rsid w:val="00A1771E"/>
    <w:rsid w:val="00A22BCF"/>
    <w:rsid w:val="00A23181"/>
    <w:rsid w:val="00A2491A"/>
    <w:rsid w:val="00A26758"/>
    <w:rsid w:val="00A27F84"/>
    <w:rsid w:val="00A316A1"/>
    <w:rsid w:val="00A31E70"/>
    <w:rsid w:val="00A3216B"/>
    <w:rsid w:val="00A32D9F"/>
    <w:rsid w:val="00A33489"/>
    <w:rsid w:val="00A3578E"/>
    <w:rsid w:val="00A378A1"/>
    <w:rsid w:val="00A410B6"/>
    <w:rsid w:val="00A4286A"/>
    <w:rsid w:val="00A439E5"/>
    <w:rsid w:val="00A44C2A"/>
    <w:rsid w:val="00A44ED4"/>
    <w:rsid w:val="00A456AF"/>
    <w:rsid w:val="00A46704"/>
    <w:rsid w:val="00A478AC"/>
    <w:rsid w:val="00A501E2"/>
    <w:rsid w:val="00A527BE"/>
    <w:rsid w:val="00A52BB8"/>
    <w:rsid w:val="00A533E1"/>
    <w:rsid w:val="00A542B1"/>
    <w:rsid w:val="00A55DAC"/>
    <w:rsid w:val="00A5695C"/>
    <w:rsid w:val="00A5799D"/>
    <w:rsid w:val="00A6003F"/>
    <w:rsid w:val="00A711F2"/>
    <w:rsid w:val="00A71982"/>
    <w:rsid w:val="00A75E2D"/>
    <w:rsid w:val="00A75EC4"/>
    <w:rsid w:val="00A76137"/>
    <w:rsid w:val="00A764F0"/>
    <w:rsid w:val="00A776C0"/>
    <w:rsid w:val="00A77CFA"/>
    <w:rsid w:val="00A81E20"/>
    <w:rsid w:val="00A8382E"/>
    <w:rsid w:val="00A83F9A"/>
    <w:rsid w:val="00A84E2B"/>
    <w:rsid w:val="00A928DF"/>
    <w:rsid w:val="00A92FE4"/>
    <w:rsid w:val="00A94E2A"/>
    <w:rsid w:val="00AA08AD"/>
    <w:rsid w:val="00AA0ED2"/>
    <w:rsid w:val="00AA1891"/>
    <w:rsid w:val="00AA408C"/>
    <w:rsid w:val="00AB2218"/>
    <w:rsid w:val="00AB2EE6"/>
    <w:rsid w:val="00AB4835"/>
    <w:rsid w:val="00AB4CDB"/>
    <w:rsid w:val="00AB4DD8"/>
    <w:rsid w:val="00AB4F91"/>
    <w:rsid w:val="00AB59C8"/>
    <w:rsid w:val="00AB62A6"/>
    <w:rsid w:val="00AC09CD"/>
    <w:rsid w:val="00AC20E4"/>
    <w:rsid w:val="00AC2ECF"/>
    <w:rsid w:val="00AC30A1"/>
    <w:rsid w:val="00AC4EDD"/>
    <w:rsid w:val="00AC63A5"/>
    <w:rsid w:val="00AC697B"/>
    <w:rsid w:val="00AC7D2B"/>
    <w:rsid w:val="00AD126B"/>
    <w:rsid w:val="00AD3BA2"/>
    <w:rsid w:val="00AD3DC3"/>
    <w:rsid w:val="00AD4957"/>
    <w:rsid w:val="00AD663E"/>
    <w:rsid w:val="00AD71B6"/>
    <w:rsid w:val="00AD7F71"/>
    <w:rsid w:val="00AE0FF7"/>
    <w:rsid w:val="00AE1EA9"/>
    <w:rsid w:val="00AE32A4"/>
    <w:rsid w:val="00AE3374"/>
    <w:rsid w:val="00AE3E2D"/>
    <w:rsid w:val="00AE6286"/>
    <w:rsid w:val="00AE6DDA"/>
    <w:rsid w:val="00AE7197"/>
    <w:rsid w:val="00AF0718"/>
    <w:rsid w:val="00AF086B"/>
    <w:rsid w:val="00AF0977"/>
    <w:rsid w:val="00AF2027"/>
    <w:rsid w:val="00AF3CA5"/>
    <w:rsid w:val="00AF5F2E"/>
    <w:rsid w:val="00AF6261"/>
    <w:rsid w:val="00AF75D0"/>
    <w:rsid w:val="00B00080"/>
    <w:rsid w:val="00B0180B"/>
    <w:rsid w:val="00B01938"/>
    <w:rsid w:val="00B069EB"/>
    <w:rsid w:val="00B077A6"/>
    <w:rsid w:val="00B07872"/>
    <w:rsid w:val="00B10DBC"/>
    <w:rsid w:val="00B10EA5"/>
    <w:rsid w:val="00B10EC2"/>
    <w:rsid w:val="00B1208C"/>
    <w:rsid w:val="00B121EB"/>
    <w:rsid w:val="00B17CE1"/>
    <w:rsid w:val="00B20820"/>
    <w:rsid w:val="00B22998"/>
    <w:rsid w:val="00B235E8"/>
    <w:rsid w:val="00B238B2"/>
    <w:rsid w:val="00B25138"/>
    <w:rsid w:val="00B30116"/>
    <w:rsid w:val="00B3014B"/>
    <w:rsid w:val="00B3090B"/>
    <w:rsid w:val="00B31095"/>
    <w:rsid w:val="00B31917"/>
    <w:rsid w:val="00B33670"/>
    <w:rsid w:val="00B3661C"/>
    <w:rsid w:val="00B40269"/>
    <w:rsid w:val="00B432BA"/>
    <w:rsid w:val="00B43AAC"/>
    <w:rsid w:val="00B445EE"/>
    <w:rsid w:val="00B46373"/>
    <w:rsid w:val="00B471CB"/>
    <w:rsid w:val="00B47445"/>
    <w:rsid w:val="00B476D4"/>
    <w:rsid w:val="00B47B01"/>
    <w:rsid w:val="00B50246"/>
    <w:rsid w:val="00B51A7D"/>
    <w:rsid w:val="00B51D91"/>
    <w:rsid w:val="00B51E69"/>
    <w:rsid w:val="00B52329"/>
    <w:rsid w:val="00B5268A"/>
    <w:rsid w:val="00B53C0C"/>
    <w:rsid w:val="00B546DB"/>
    <w:rsid w:val="00B5470A"/>
    <w:rsid w:val="00B54D06"/>
    <w:rsid w:val="00B56678"/>
    <w:rsid w:val="00B5710B"/>
    <w:rsid w:val="00B63053"/>
    <w:rsid w:val="00B63F02"/>
    <w:rsid w:val="00B64634"/>
    <w:rsid w:val="00B72BBF"/>
    <w:rsid w:val="00B73C9A"/>
    <w:rsid w:val="00B73CCA"/>
    <w:rsid w:val="00B748CB"/>
    <w:rsid w:val="00B74AC8"/>
    <w:rsid w:val="00B74EE4"/>
    <w:rsid w:val="00B75890"/>
    <w:rsid w:val="00B767EB"/>
    <w:rsid w:val="00B805D4"/>
    <w:rsid w:val="00B80937"/>
    <w:rsid w:val="00B81647"/>
    <w:rsid w:val="00B8174C"/>
    <w:rsid w:val="00B82208"/>
    <w:rsid w:val="00B82568"/>
    <w:rsid w:val="00B85FED"/>
    <w:rsid w:val="00B864E7"/>
    <w:rsid w:val="00B87216"/>
    <w:rsid w:val="00B87745"/>
    <w:rsid w:val="00B87F8F"/>
    <w:rsid w:val="00B913DC"/>
    <w:rsid w:val="00B927D5"/>
    <w:rsid w:val="00B93310"/>
    <w:rsid w:val="00B94DD2"/>
    <w:rsid w:val="00B9549E"/>
    <w:rsid w:val="00B96D77"/>
    <w:rsid w:val="00B9701A"/>
    <w:rsid w:val="00B9780A"/>
    <w:rsid w:val="00B9797F"/>
    <w:rsid w:val="00B97DC1"/>
    <w:rsid w:val="00BA04D6"/>
    <w:rsid w:val="00BA2442"/>
    <w:rsid w:val="00BA6B55"/>
    <w:rsid w:val="00BB08CF"/>
    <w:rsid w:val="00BB0B15"/>
    <w:rsid w:val="00BB0F31"/>
    <w:rsid w:val="00BB1005"/>
    <w:rsid w:val="00BB2F68"/>
    <w:rsid w:val="00BB5F5B"/>
    <w:rsid w:val="00BB7C06"/>
    <w:rsid w:val="00BC434B"/>
    <w:rsid w:val="00BC543A"/>
    <w:rsid w:val="00BC59F9"/>
    <w:rsid w:val="00BC6C21"/>
    <w:rsid w:val="00BC6CB7"/>
    <w:rsid w:val="00BC7C49"/>
    <w:rsid w:val="00BD02A2"/>
    <w:rsid w:val="00BD0456"/>
    <w:rsid w:val="00BD0AA6"/>
    <w:rsid w:val="00BD0BF0"/>
    <w:rsid w:val="00BD1E7E"/>
    <w:rsid w:val="00BD2A56"/>
    <w:rsid w:val="00BD2B60"/>
    <w:rsid w:val="00BD3B6F"/>
    <w:rsid w:val="00BD3EA3"/>
    <w:rsid w:val="00BD4197"/>
    <w:rsid w:val="00BD422A"/>
    <w:rsid w:val="00BD729B"/>
    <w:rsid w:val="00BE0135"/>
    <w:rsid w:val="00BE04E0"/>
    <w:rsid w:val="00BE0A2B"/>
    <w:rsid w:val="00BE0ED3"/>
    <w:rsid w:val="00BE39AE"/>
    <w:rsid w:val="00BE467F"/>
    <w:rsid w:val="00BE48B2"/>
    <w:rsid w:val="00BE4F0D"/>
    <w:rsid w:val="00BE5A78"/>
    <w:rsid w:val="00BE68C5"/>
    <w:rsid w:val="00BF3E7C"/>
    <w:rsid w:val="00BF4D6F"/>
    <w:rsid w:val="00BF5D4D"/>
    <w:rsid w:val="00BF7992"/>
    <w:rsid w:val="00BF7AF9"/>
    <w:rsid w:val="00C00F47"/>
    <w:rsid w:val="00C017CE"/>
    <w:rsid w:val="00C020E8"/>
    <w:rsid w:val="00C02748"/>
    <w:rsid w:val="00C03020"/>
    <w:rsid w:val="00C03A6D"/>
    <w:rsid w:val="00C05D78"/>
    <w:rsid w:val="00C061F1"/>
    <w:rsid w:val="00C06598"/>
    <w:rsid w:val="00C07A89"/>
    <w:rsid w:val="00C07AB0"/>
    <w:rsid w:val="00C07BC7"/>
    <w:rsid w:val="00C12C3E"/>
    <w:rsid w:val="00C17963"/>
    <w:rsid w:val="00C203A0"/>
    <w:rsid w:val="00C21995"/>
    <w:rsid w:val="00C22152"/>
    <w:rsid w:val="00C24955"/>
    <w:rsid w:val="00C273ED"/>
    <w:rsid w:val="00C308C1"/>
    <w:rsid w:val="00C310D1"/>
    <w:rsid w:val="00C341DF"/>
    <w:rsid w:val="00C34402"/>
    <w:rsid w:val="00C4181C"/>
    <w:rsid w:val="00C41C65"/>
    <w:rsid w:val="00C41F4F"/>
    <w:rsid w:val="00C421E2"/>
    <w:rsid w:val="00C425C0"/>
    <w:rsid w:val="00C45204"/>
    <w:rsid w:val="00C468C6"/>
    <w:rsid w:val="00C5329F"/>
    <w:rsid w:val="00C53527"/>
    <w:rsid w:val="00C55B0F"/>
    <w:rsid w:val="00C55CA7"/>
    <w:rsid w:val="00C5678D"/>
    <w:rsid w:val="00C60660"/>
    <w:rsid w:val="00C615B7"/>
    <w:rsid w:val="00C64CD0"/>
    <w:rsid w:val="00C64F04"/>
    <w:rsid w:val="00C70199"/>
    <w:rsid w:val="00C726FA"/>
    <w:rsid w:val="00C7728F"/>
    <w:rsid w:val="00C77B4B"/>
    <w:rsid w:val="00C80D03"/>
    <w:rsid w:val="00C84BD0"/>
    <w:rsid w:val="00C86041"/>
    <w:rsid w:val="00C86095"/>
    <w:rsid w:val="00C86C61"/>
    <w:rsid w:val="00C90123"/>
    <w:rsid w:val="00C90A74"/>
    <w:rsid w:val="00C9103F"/>
    <w:rsid w:val="00C92B00"/>
    <w:rsid w:val="00C9377F"/>
    <w:rsid w:val="00C93E50"/>
    <w:rsid w:val="00C94436"/>
    <w:rsid w:val="00CA02E0"/>
    <w:rsid w:val="00CA0C42"/>
    <w:rsid w:val="00CA198B"/>
    <w:rsid w:val="00CA2F31"/>
    <w:rsid w:val="00CA524A"/>
    <w:rsid w:val="00CA7C99"/>
    <w:rsid w:val="00CA7E62"/>
    <w:rsid w:val="00CB00BE"/>
    <w:rsid w:val="00CB668A"/>
    <w:rsid w:val="00CB72DE"/>
    <w:rsid w:val="00CC073C"/>
    <w:rsid w:val="00CC21CA"/>
    <w:rsid w:val="00CC2B11"/>
    <w:rsid w:val="00CC2DAA"/>
    <w:rsid w:val="00CC6766"/>
    <w:rsid w:val="00CD0158"/>
    <w:rsid w:val="00CD1CE3"/>
    <w:rsid w:val="00CD2543"/>
    <w:rsid w:val="00CD3AB4"/>
    <w:rsid w:val="00CD430C"/>
    <w:rsid w:val="00CD5A3A"/>
    <w:rsid w:val="00CD62F6"/>
    <w:rsid w:val="00CD6770"/>
    <w:rsid w:val="00CD6D6C"/>
    <w:rsid w:val="00CD7E5C"/>
    <w:rsid w:val="00CE0E54"/>
    <w:rsid w:val="00CE1118"/>
    <w:rsid w:val="00CE1ACA"/>
    <w:rsid w:val="00CE4041"/>
    <w:rsid w:val="00CE4096"/>
    <w:rsid w:val="00CE42D4"/>
    <w:rsid w:val="00CE4FC0"/>
    <w:rsid w:val="00CE573D"/>
    <w:rsid w:val="00CE5B58"/>
    <w:rsid w:val="00CE6AAC"/>
    <w:rsid w:val="00CE7B2A"/>
    <w:rsid w:val="00CF3660"/>
    <w:rsid w:val="00CF3A70"/>
    <w:rsid w:val="00CF44AA"/>
    <w:rsid w:val="00CF47E4"/>
    <w:rsid w:val="00CF5970"/>
    <w:rsid w:val="00CF7961"/>
    <w:rsid w:val="00D01711"/>
    <w:rsid w:val="00D0322A"/>
    <w:rsid w:val="00D07A38"/>
    <w:rsid w:val="00D107AF"/>
    <w:rsid w:val="00D11019"/>
    <w:rsid w:val="00D12F5C"/>
    <w:rsid w:val="00D16249"/>
    <w:rsid w:val="00D176B0"/>
    <w:rsid w:val="00D179CD"/>
    <w:rsid w:val="00D17EC9"/>
    <w:rsid w:val="00D22894"/>
    <w:rsid w:val="00D23CCE"/>
    <w:rsid w:val="00D2407D"/>
    <w:rsid w:val="00D24E47"/>
    <w:rsid w:val="00D26F01"/>
    <w:rsid w:val="00D27CFF"/>
    <w:rsid w:val="00D30963"/>
    <w:rsid w:val="00D30F7A"/>
    <w:rsid w:val="00D313E5"/>
    <w:rsid w:val="00D32AFE"/>
    <w:rsid w:val="00D34BBB"/>
    <w:rsid w:val="00D3634F"/>
    <w:rsid w:val="00D368EE"/>
    <w:rsid w:val="00D409FD"/>
    <w:rsid w:val="00D41092"/>
    <w:rsid w:val="00D41A56"/>
    <w:rsid w:val="00D422E6"/>
    <w:rsid w:val="00D43792"/>
    <w:rsid w:val="00D4523F"/>
    <w:rsid w:val="00D458C1"/>
    <w:rsid w:val="00D46266"/>
    <w:rsid w:val="00D46F43"/>
    <w:rsid w:val="00D4721E"/>
    <w:rsid w:val="00D47DC6"/>
    <w:rsid w:val="00D50010"/>
    <w:rsid w:val="00D50888"/>
    <w:rsid w:val="00D51CC0"/>
    <w:rsid w:val="00D53C2C"/>
    <w:rsid w:val="00D56CFE"/>
    <w:rsid w:val="00D56D69"/>
    <w:rsid w:val="00D57122"/>
    <w:rsid w:val="00D6469C"/>
    <w:rsid w:val="00D64C30"/>
    <w:rsid w:val="00D663C3"/>
    <w:rsid w:val="00D666A5"/>
    <w:rsid w:val="00D6736A"/>
    <w:rsid w:val="00D74C56"/>
    <w:rsid w:val="00D755B7"/>
    <w:rsid w:val="00D75B83"/>
    <w:rsid w:val="00D76503"/>
    <w:rsid w:val="00D7651A"/>
    <w:rsid w:val="00D8010E"/>
    <w:rsid w:val="00D802C7"/>
    <w:rsid w:val="00D80EAF"/>
    <w:rsid w:val="00D8102D"/>
    <w:rsid w:val="00D82288"/>
    <w:rsid w:val="00D83789"/>
    <w:rsid w:val="00D8418F"/>
    <w:rsid w:val="00D85189"/>
    <w:rsid w:val="00D87500"/>
    <w:rsid w:val="00D87747"/>
    <w:rsid w:val="00D91973"/>
    <w:rsid w:val="00D94320"/>
    <w:rsid w:val="00D94601"/>
    <w:rsid w:val="00D956C4"/>
    <w:rsid w:val="00D97D53"/>
    <w:rsid w:val="00DA21DD"/>
    <w:rsid w:val="00DA2DD3"/>
    <w:rsid w:val="00DA36B8"/>
    <w:rsid w:val="00DA634A"/>
    <w:rsid w:val="00DA63B8"/>
    <w:rsid w:val="00DA65C9"/>
    <w:rsid w:val="00DA6C6B"/>
    <w:rsid w:val="00DA7B5C"/>
    <w:rsid w:val="00DB06CB"/>
    <w:rsid w:val="00DB2DA3"/>
    <w:rsid w:val="00DB2E2C"/>
    <w:rsid w:val="00DB2E3B"/>
    <w:rsid w:val="00DB308E"/>
    <w:rsid w:val="00DB4408"/>
    <w:rsid w:val="00DB6967"/>
    <w:rsid w:val="00DC0101"/>
    <w:rsid w:val="00DC0BC6"/>
    <w:rsid w:val="00DC11F1"/>
    <w:rsid w:val="00DC23FF"/>
    <w:rsid w:val="00DC4A96"/>
    <w:rsid w:val="00DC5F5F"/>
    <w:rsid w:val="00DC669B"/>
    <w:rsid w:val="00DD0E37"/>
    <w:rsid w:val="00DD11F3"/>
    <w:rsid w:val="00DD19A8"/>
    <w:rsid w:val="00DD4722"/>
    <w:rsid w:val="00DD688E"/>
    <w:rsid w:val="00DE3D07"/>
    <w:rsid w:val="00DE3F81"/>
    <w:rsid w:val="00DE43E5"/>
    <w:rsid w:val="00DE49EA"/>
    <w:rsid w:val="00DE68D2"/>
    <w:rsid w:val="00DE7F81"/>
    <w:rsid w:val="00DF3209"/>
    <w:rsid w:val="00DF3A47"/>
    <w:rsid w:val="00DF4943"/>
    <w:rsid w:val="00DF7B94"/>
    <w:rsid w:val="00E003C0"/>
    <w:rsid w:val="00E005B9"/>
    <w:rsid w:val="00E00652"/>
    <w:rsid w:val="00E006D3"/>
    <w:rsid w:val="00E009A9"/>
    <w:rsid w:val="00E01141"/>
    <w:rsid w:val="00E0159A"/>
    <w:rsid w:val="00E03781"/>
    <w:rsid w:val="00E042EF"/>
    <w:rsid w:val="00E049A5"/>
    <w:rsid w:val="00E05B17"/>
    <w:rsid w:val="00E06555"/>
    <w:rsid w:val="00E06AB2"/>
    <w:rsid w:val="00E06B6D"/>
    <w:rsid w:val="00E06DA9"/>
    <w:rsid w:val="00E07E9B"/>
    <w:rsid w:val="00E10AA1"/>
    <w:rsid w:val="00E1158E"/>
    <w:rsid w:val="00E12649"/>
    <w:rsid w:val="00E15B13"/>
    <w:rsid w:val="00E15D96"/>
    <w:rsid w:val="00E16872"/>
    <w:rsid w:val="00E20915"/>
    <w:rsid w:val="00E209FA"/>
    <w:rsid w:val="00E20D2F"/>
    <w:rsid w:val="00E21BE7"/>
    <w:rsid w:val="00E229B6"/>
    <w:rsid w:val="00E22BF4"/>
    <w:rsid w:val="00E23E64"/>
    <w:rsid w:val="00E23FFA"/>
    <w:rsid w:val="00E307CF"/>
    <w:rsid w:val="00E315FA"/>
    <w:rsid w:val="00E319EC"/>
    <w:rsid w:val="00E32307"/>
    <w:rsid w:val="00E32F2E"/>
    <w:rsid w:val="00E34A7C"/>
    <w:rsid w:val="00E35FF1"/>
    <w:rsid w:val="00E3633F"/>
    <w:rsid w:val="00E36451"/>
    <w:rsid w:val="00E41258"/>
    <w:rsid w:val="00E4205D"/>
    <w:rsid w:val="00E44DB9"/>
    <w:rsid w:val="00E45605"/>
    <w:rsid w:val="00E525ED"/>
    <w:rsid w:val="00E52822"/>
    <w:rsid w:val="00E52859"/>
    <w:rsid w:val="00E53694"/>
    <w:rsid w:val="00E55836"/>
    <w:rsid w:val="00E5648A"/>
    <w:rsid w:val="00E5693F"/>
    <w:rsid w:val="00E61246"/>
    <w:rsid w:val="00E61B55"/>
    <w:rsid w:val="00E61F79"/>
    <w:rsid w:val="00E62CBE"/>
    <w:rsid w:val="00E701B2"/>
    <w:rsid w:val="00E7178C"/>
    <w:rsid w:val="00E71959"/>
    <w:rsid w:val="00E71DE1"/>
    <w:rsid w:val="00E724F2"/>
    <w:rsid w:val="00E73110"/>
    <w:rsid w:val="00E7409F"/>
    <w:rsid w:val="00E83CD5"/>
    <w:rsid w:val="00E83F37"/>
    <w:rsid w:val="00E84318"/>
    <w:rsid w:val="00E85332"/>
    <w:rsid w:val="00E86F76"/>
    <w:rsid w:val="00E87EBF"/>
    <w:rsid w:val="00E9119E"/>
    <w:rsid w:val="00E9193B"/>
    <w:rsid w:val="00E92374"/>
    <w:rsid w:val="00E93E7C"/>
    <w:rsid w:val="00E9406E"/>
    <w:rsid w:val="00E95D10"/>
    <w:rsid w:val="00E96EDC"/>
    <w:rsid w:val="00EA2339"/>
    <w:rsid w:val="00EA57B1"/>
    <w:rsid w:val="00EA6C33"/>
    <w:rsid w:val="00EB41F8"/>
    <w:rsid w:val="00EB458B"/>
    <w:rsid w:val="00EB5F0B"/>
    <w:rsid w:val="00EB64A1"/>
    <w:rsid w:val="00EC1CAB"/>
    <w:rsid w:val="00EC228D"/>
    <w:rsid w:val="00EC3D6C"/>
    <w:rsid w:val="00EC492F"/>
    <w:rsid w:val="00EC51C7"/>
    <w:rsid w:val="00EC557C"/>
    <w:rsid w:val="00EC67DA"/>
    <w:rsid w:val="00EC6C7D"/>
    <w:rsid w:val="00ED00EE"/>
    <w:rsid w:val="00ED0962"/>
    <w:rsid w:val="00ED0EC5"/>
    <w:rsid w:val="00ED2EDE"/>
    <w:rsid w:val="00ED4798"/>
    <w:rsid w:val="00ED6488"/>
    <w:rsid w:val="00EE0205"/>
    <w:rsid w:val="00EE0CAB"/>
    <w:rsid w:val="00EE1BE9"/>
    <w:rsid w:val="00EE1D16"/>
    <w:rsid w:val="00EE30BE"/>
    <w:rsid w:val="00EE32BB"/>
    <w:rsid w:val="00EE3447"/>
    <w:rsid w:val="00EE38E4"/>
    <w:rsid w:val="00EE3E80"/>
    <w:rsid w:val="00EF0944"/>
    <w:rsid w:val="00EF1192"/>
    <w:rsid w:val="00EF2047"/>
    <w:rsid w:val="00EF26BA"/>
    <w:rsid w:val="00EF378E"/>
    <w:rsid w:val="00EF3B49"/>
    <w:rsid w:val="00EF404D"/>
    <w:rsid w:val="00EF7E4C"/>
    <w:rsid w:val="00F0205A"/>
    <w:rsid w:val="00F03133"/>
    <w:rsid w:val="00F03E96"/>
    <w:rsid w:val="00F059D2"/>
    <w:rsid w:val="00F06445"/>
    <w:rsid w:val="00F06BCC"/>
    <w:rsid w:val="00F0727F"/>
    <w:rsid w:val="00F118B5"/>
    <w:rsid w:val="00F11D5C"/>
    <w:rsid w:val="00F143EE"/>
    <w:rsid w:val="00F15A35"/>
    <w:rsid w:val="00F15A6C"/>
    <w:rsid w:val="00F2078C"/>
    <w:rsid w:val="00F22EE8"/>
    <w:rsid w:val="00F23BC6"/>
    <w:rsid w:val="00F24347"/>
    <w:rsid w:val="00F24B97"/>
    <w:rsid w:val="00F25756"/>
    <w:rsid w:val="00F32C3F"/>
    <w:rsid w:val="00F345C3"/>
    <w:rsid w:val="00F36EB7"/>
    <w:rsid w:val="00F37DE8"/>
    <w:rsid w:val="00F40F62"/>
    <w:rsid w:val="00F42EA2"/>
    <w:rsid w:val="00F43AAD"/>
    <w:rsid w:val="00F46364"/>
    <w:rsid w:val="00F47A71"/>
    <w:rsid w:val="00F501C9"/>
    <w:rsid w:val="00F501F5"/>
    <w:rsid w:val="00F50EA3"/>
    <w:rsid w:val="00F51B51"/>
    <w:rsid w:val="00F5265B"/>
    <w:rsid w:val="00F57B44"/>
    <w:rsid w:val="00F57E34"/>
    <w:rsid w:val="00F610AA"/>
    <w:rsid w:val="00F615E9"/>
    <w:rsid w:val="00F61D45"/>
    <w:rsid w:val="00F6327D"/>
    <w:rsid w:val="00F67AD6"/>
    <w:rsid w:val="00F702F0"/>
    <w:rsid w:val="00F707FE"/>
    <w:rsid w:val="00F71A28"/>
    <w:rsid w:val="00F724E3"/>
    <w:rsid w:val="00F73E9A"/>
    <w:rsid w:val="00F74A24"/>
    <w:rsid w:val="00F74D58"/>
    <w:rsid w:val="00F765C3"/>
    <w:rsid w:val="00F76F16"/>
    <w:rsid w:val="00F80307"/>
    <w:rsid w:val="00F8108C"/>
    <w:rsid w:val="00F82962"/>
    <w:rsid w:val="00F8494A"/>
    <w:rsid w:val="00F90F4F"/>
    <w:rsid w:val="00F916ED"/>
    <w:rsid w:val="00F9204B"/>
    <w:rsid w:val="00F93EB1"/>
    <w:rsid w:val="00F94179"/>
    <w:rsid w:val="00F944F8"/>
    <w:rsid w:val="00F94918"/>
    <w:rsid w:val="00F94C29"/>
    <w:rsid w:val="00FA036B"/>
    <w:rsid w:val="00FA0E33"/>
    <w:rsid w:val="00FA0F6B"/>
    <w:rsid w:val="00FA2085"/>
    <w:rsid w:val="00FA32DF"/>
    <w:rsid w:val="00FA5DDF"/>
    <w:rsid w:val="00FA6EEA"/>
    <w:rsid w:val="00FA7C2A"/>
    <w:rsid w:val="00FB15E0"/>
    <w:rsid w:val="00FB3B6F"/>
    <w:rsid w:val="00FB48AC"/>
    <w:rsid w:val="00FB4AD1"/>
    <w:rsid w:val="00FB5BA6"/>
    <w:rsid w:val="00FB6678"/>
    <w:rsid w:val="00FB694E"/>
    <w:rsid w:val="00FB6BCF"/>
    <w:rsid w:val="00FB7842"/>
    <w:rsid w:val="00FC1C24"/>
    <w:rsid w:val="00FC1DD1"/>
    <w:rsid w:val="00FC2799"/>
    <w:rsid w:val="00FC3C13"/>
    <w:rsid w:val="00FC7023"/>
    <w:rsid w:val="00FD1478"/>
    <w:rsid w:val="00FD14C7"/>
    <w:rsid w:val="00FD1735"/>
    <w:rsid w:val="00FD26E5"/>
    <w:rsid w:val="00FD3910"/>
    <w:rsid w:val="00FD5390"/>
    <w:rsid w:val="00FD58A5"/>
    <w:rsid w:val="00FD6665"/>
    <w:rsid w:val="00FD6934"/>
    <w:rsid w:val="00FD6FF0"/>
    <w:rsid w:val="00FD70C9"/>
    <w:rsid w:val="00FE2568"/>
    <w:rsid w:val="00FE47EF"/>
    <w:rsid w:val="00FE5B3F"/>
    <w:rsid w:val="00FE6B0A"/>
    <w:rsid w:val="00FE7C94"/>
    <w:rsid w:val="00FE7D1B"/>
    <w:rsid w:val="00FF04E7"/>
    <w:rsid w:val="00FF0E45"/>
    <w:rsid w:val="00FF1FE7"/>
    <w:rsid w:val="00FF2879"/>
    <w:rsid w:val="00FF360C"/>
    <w:rsid w:val="00FF3E59"/>
    <w:rsid w:val="00FF75F8"/>
    <w:rsid w:val="028E4105"/>
    <w:rsid w:val="241918FF"/>
    <w:rsid w:val="5BB857DA"/>
    <w:rsid w:val="65F325B3"/>
    <w:rsid w:val="68B35F56"/>
    <w:rsid w:val="6DCB7C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4"/>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5"/>
    <w:unhideWhenUsed/>
    <w:qFormat/>
    <w:uiPriority w:val="9"/>
    <w:pPr>
      <w:keepNext/>
      <w:keepLines/>
      <w:spacing w:before="260" w:after="260" w:line="416" w:lineRule="auto"/>
      <w:outlineLvl w:val="2"/>
    </w:pPr>
    <w:rPr>
      <w:b/>
      <w:bCs/>
      <w:sz w:val="32"/>
      <w:szCs w:val="32"/>
    </w:rPr>
  </w:style>
  <w:style w:type="character" w:default="1" w:styleId="17">
    <w:name w:val="Default Paragraph Font"/>
    <w:semiHidden/>
    <w:unhideWhenUsed/>
    <w:uiPriority w:val="1"/>
  </w:style>
  <w:style w:type="table" w:default="1" w:styleId="15">
    <w:name w:val="Normal Table"/>
    <w:semiHidden/>
    <w:unhideWhenUsed/>
    <w:uiPriority w:val="99"/>
    <w:tblPr>
      <w:tblLayout w:type="fixed"/>
      <w:tblCellMar>
        <w:top w:w="0" w:type="dxa"/>
        <w:left w:w="108" w:type="dxa"/>
        <w:bottom w:w="0" w:type="dxa"/>
        <w:right w:w="108" w:type="dxa"/>
      </w:tblCellMar>
    </w:tblPr>
  </w:style>
  <w:style w:type="paragraph" w:styleId="5">
    <w:name w:val="Document Map"/>
    <w:basedOn w:val="1"/>
    <w:link w:val="27"/>
    <w:unhideWhenUsed/>
    <w:qFormat/>
    <w:uiPriority w:val="99"/>
    <w:rPr>
      <w:rFonts w:ascii="宋体" w:eastAsia="宋体"/>
      <w:sz w:val="18"/>
      <w:szCs w:val="18"/>
    </w:rPr>
  </w:style>
  <w:style w:type="paragraph" w:styleId="6">
    <w:name w:val="annotation text"/>
    <w:basedOn w:val="1"/>
    <w:link w:val="31"/>
    <w:qFormat/>
    <w:uiPriority w:val="0"/>
    <w:pPr>
      <w:jc w:val="left"/>
    </w:pPr>
    <w:rPr>
      <w:rFonts w:ascii="Times New Roman" w:hAnsi="Times New Roman" w:eastAsia="宋体" w:cs="Times New Roman"/>
      <w:szCs w:val="20"/>
    </w:rPr>
  </w:style>
  <w:style w:type="paragraph" w:styleId="7">
    <w:name w:val="toc 3"/>
    <w:basedOn w:val="1"/>
    <w:next w:val="1"/>
    <w:unhideWhenUsed/>
    <w:qFormat/>
    <w:uiPriority w:val="39"/>
    <w:pPr>
      <w:ind w:left="840" w:leftChars="400"/>
    </w:pPr>
  </w:style>
  <w:style w:type="paragraph" w:styleId="8">
    <w:name w:val="Body Text Indent 2"/>
    <w:basedOn w:val="1"/>
    <w:link w:val="29"/>
    <w:qFormat/>
    <w:uiPriority w:val="0"/>
    <w:pPr>
      <w:spacing w:after="120" w:line="480" w:lineRule="auto"/>
      <w:ind w:left="420" w:leftChars="200"/>
    </w:pPr>
    <w:rPr>
      <w:rFonts w:ascii="Times New Roman" w:hAnsi="Times New Roman" w:eastAsia="宋体" w:cs="Times New Roman"/>
      <w:szCs w:val="24"/>
    </w:rPr>
  </w:style>
  <w:style w:type="paragraph" w:styleId="9">
    <w:name w:val="Balloon Text"/>
    <w:basedOn w:val="1"/>
    <w:link w:val="26"/>
    <w:unhideWhenUsed/>
    <w:qFormat/>
    <w:uiPriority w:val="99"/>
    <w:rPr>
      <w:sz w:val="18"/>
      <w:szCs w:val="18"/>
    </w:rPr>
  </w:style>
  <w:style w:type="paragraph" w:styleId="10">
    <w:name w:val="footer"/>
    <w:basedOn w:val="1"/>
    <w:link w:val="22"/>
    <w:unhideWhenUsed/>
    <w:qFormat/>
    <w:uiPriority w:val="99"/>
    <w:pPr>
      <w:tabs>
        <w:tab w:val="center" w:pos="4153"/>
        <w:tab w:val="right" w:pos="8306"/>
      </w:tabs>
      <w:snapToGrid w:val="0"/>
      <w:jc w:val="left"/>
    </w:pPr>
    <w:rPr>
      <w:sz w:val="18"/>
      <w:szCs w:val="18"/>
    </w:rPr>
  </w:style>
  <w:style w:type="paragraph" w:styleId="11">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style>
  <w:style w:type="paragraph" w:styleId="13">
    <w:name w:val="toc 2"/>
    <w:basedOn w:val="1"/>
    <w:next w:val="1"/>
    <w:unhideWhenUsed/>
    <w:qFormat/>
    <w:uiPriority w:val="39"/>
    <w:pPr>
      <w:ind w:left="420" w:leftChars="200"/>
    </w:pPr>
  </w:style>
  <w:style w:type="paragraph" w:styleId="14">
    <w:name w:val="Normal (Web)"/>
    <w:basedOn w:val="1"/>
    <w:qFormat/>
    <w:uiPriority w:val="99"/>
    <w:pPr>
      <w:widowControl/>
      <w:spacing w:before="100" w:beforeAutospacing="1" w:after="100" w:afterAutospacing="1"/>
      <w:jc w:val="left"/>
    </w:pPr>
    <w:rPr>
      <w:rFonts w:ascii="宋体" w:hAnsi="宋体" w:eastAsia="宋体" w:cs="宋体"/>
      <w:kern w:val="0"/>
      <w:sz w:val="24"/>
      <w:szCs w:val="24"/>
    </w:rPr>
  </w:style>
  <w:style w:type="table" w:styleId="16">
    <w:name w:val="Table Grid"/>
    <w:basedOn w:val="15"/>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Pr>
  </w:style>
  <w:style w:type="character" w:styleId="18">
    <w:name w:val="page number"/>
    <w:basedOn w:val="17"/>
    <w:qFormat/>
    <w:uiPriority w:val="0"/>
  </w:style>
  <w:style w:type="character" w:styleId="19">
    <w:name w:val="FollowedHyperlink"/>
    <w:basedOn w:val="17"/>
    <w:semiHidden/>
    <w:unhideWhenUsed/>
    <w:qFormat/>
    <w:uiPriority w:val="99"/>
    <w:rPr>
      <w:color w:val="800080"/>
      <w:u w:val="single"/>
    </w:rPr>
  </w:style>
  <w:style w:type="character" w:styleId="20">
    <w:name w:val="Hyperlink"/>
    <w:basedOn w:val="17"/>
    <w:unhideWhenUsed/>
    <w:qFormat/>
    <w:uiPriority w:val="99"/>
    <w:rPr>
      <w:color w:val="0000FF" w:themeColor="hyperlink"/>
      <w:u w:val="single"/>
      <w14:textFill>
        <w14:solidFill>
          <w14:schemeClr w14:val="hlink"/>
        </w14:solidFill>
      </w14:textFill>
    </w:rPr>
  </w:style>
  <w:style w:type="character" w:customStyle="1" w:styleId="21">
    <w:name w:val="页眉 字符"/>
    <w:basedOn w:val="17"/>
    <w:link w:val="11"/>
    <w:qFormat/>
    <w:uiPriority w:val="99"/>
    <w:rPr>
      <w:sz w:val="18"/>
      <w:szCs w:val="18"/>
    </w:rPr>
  </w:style>
  <w:style w:type="character" w:customStyle="1" w:styleId="22">
    <w:name w:val="页脚 字符"/>
    <w:basedOn w:val="17"/>
    <w:link w:val="10"/>
    <w:uiPriority w:val="99"/>
    <w:rPr>
      <w:sz w:val="18"/>
      <w:szCs w:val="18"/>
    </w:rPr>
  </w:style>
  <w:style w:type="character" w:customStyle="1" w:styleId="23">
    <w:name w:val="标题 1 字符"/>
    <w:basedOn w:val="17"/>
    <w:link w:val="2"/>
    <w:qFormat/>
    <w:uiPriority w:val="9"/>
    <w:rPr>
      <w:b/>
      <w:bCs/>
      <w:kern w:val="44"/>
      <w:sz w:val="44"/>
      <w:szCs w:val="44"/>
    </w:rPr>
  </w:style>
  <w:style w:type="character" w:customStyle="1" w:styleId="24">
    <w:name w:val="标题 2 字符"/>
    <w:basedOn w:val="17"/>
    <w:link w:val="3"/>
    <w:qFormat/>
    <w:uiPriority w:val="0"/>
    <w:rPr>
      <w:rFonts w:asciiTheme="majorHAnsi" w:hAnsiTheme="majorHAnsi" w:eastAsiaTheme="majorEastAsia" w:cstheme="majorBidi"/>
      <w:b/>
      <w:bCs/>
      <w:sz w:val="32"/>
      <w:szCs w:val="32"/>
    </w:rPr>
  </w:style>
  <w:style w:type="character" w:customStyle="1" w:styleId="25">
    <w:name w:val="标题 3 字符"/>
    <w:basedOn w:val="17"/>
    <w:link w:val="4"/>
    <w:qFormat/>
    <w:uiPriority w:val="9"/>
    <w:rPr>
      <w:b/>
      <w:bCs/>
      <w:sz w:val="32"/>
      <w:szCs w:val="32"/>
    </w:rPr>
  </w:style>
  <w:style w:type="character" w:customStyle="1" w:styleId="26">
    <w:name w:val="批注框文本 字符"/>
    <w:basedOn w:val="17"/>
    <w:link w:val="9"/>
    <w:semiHidden/>
    <w:qFormat/>
    <w:uiPriority w:val="99"/>
    <w:rPr>
      <w:sz w:val="18"/>
      <w:szCs w:val="18"/>
    </w:rPr>
  </w:style>
  <w:style w:type="character" w:customStyle="1" w:styleId="27">
    <w:name w:val="文档结构图 字符"/>
    <w:basedOn w:val="17"/>
    <w:link w:val="5"/>
    <w:semiHidden/>
    <w:qFormat/>
    <w:uiPriority w:val="99"/>
    <w:rPr>
      <w:rFonts w:ascii="宋体" w:eastAsia="宋体"/>
      <w:sz w:val="18"/>
      <w:szCs w:val="18"/>
    </w:rPr>
  </w:style>
  <w:style w:type="paragraph" w:customStyle="1" w:styleId="28">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29">
    <w:name w:val="正文文本缩进 2 字符"/>
    <w:basedOn w:val="17"/>
    <w:link w:val="8"/>
    <w:uiPriority w:val="0"/>
    <w:rPr>
      <w:rFonts w:ascii="Times New Roman" w:hAnsi="Times New Roman" w:eastAsia="宋体" w:cs="Times New Roman"/>
      <w:szCs w:val="24"/>
    </w:rPr>
  </w:style>
  <w:style w:type="paragraph" w:customStyle="1" w:styleId="30">
    <w:name w:val="列出段落1"/>
    <w:basedOn w:val="1"/>
    <w:qFormat/>
    <w:uiPriority w:val="34"/>
    <w:pPr>
      <w:ind w:firstLine="420" w:firstLineChars="200"/>
    </w:pPr>
  </w:style>
  <w:style w:type="character" w:customStyle="1" w:styleId="31">
    <w:name w:val="批注文字 字符"/>
    <w:basedOn w:val="17"/>
    <w:link w:val="6"/>
    <w:qFormat/>
    <w:uiPriority w:val="0"/>
    <w:rPr>
      <w:rFonts w:ascii="Times New Roman" w:hAnsi="Times New Roman" w:eastAsia="宋体" w:cs="Times New Roman"/>
      <w:szCs w:val="20"/>
    </w:rPr>
  </w:style>
  <w:style w:type="paragraph" w:customStyle="1" w:styleId="32">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styleId="33">
    <w:name w:val="List Paragraph"/>
    <w:basedOn w:val="1"/>
    <w:qFormat/>
    <w:uiPriority w:val="34"/>
    <w:pPr>
      <w:ind w:firstLine="420" w:firstLineChars="200"/>
    </w:pPr>
    <w:rPr>
      <w:rFonts w:ascii="Times New Roman" w:hAnsi="Times New Roman" w:eastAsia="宋体" w:cs="Times New Roman"/>
      <w:szCs w:val="24"/>
    </w:rPr>
  </w:style>
  <w:style w:type="paragraph" w:customStyle="1" w:styleId="34">
    <w:name w:val="font5"/>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35">
    <w:name w:val="font6"/>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36">
    <w:name w:val="font7"/>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37">
    <w:name w:val="xl65"/>
    <w:basedOn w:val="1"/>
    <w:qFormat/>
    <w:uiPriority w:val="0"/>
    <w:pPr>
      <w:widowControl/>
      <w:spacing w:before="100" w:beforeAutospacing="1" w:after="100" w:afterAutospacing="1"/>
      <w:jc w:val="left"/>
      <w:textAlignment w:val="center"/>
    </w:pPr>
    <w:rPr>
      <w:rFonts w:ascii="Times New Roman" w:hAnsi="Times New Roman" w:eastAsia="宋体" w:cs="Times New Roman"/>
      <w:kern w:val="0"/>
      <w:sz w:val="24"/>
      <w:szCs w:val="24"/>
    </w:rPr>
  </w:style>
  <w:style w:type="paragraph" w:customStyle="1" w:styleId="38">
    <w:name w:val="xl66"/>
    <w:basedOn w:val="1"/>
    <w:qFormat/>
    <w:uiPriority w:val="0"/>
    <w:pPr>
      <w:widowControl/>
      <w:spacing w:before="100" w:beforeAutospacing="1" w:after="100" w:afterAutospacing="1"/>
      <w:jc w:val="left"/>
      <w:textAlignment w:val="center"/>
    </w:pPr>
    <w:rPr>
      <w:rFonts w:ascii="Times New Roman" w:hAnsi="Times New Roman" w:eastAsia="宋体" w:cs="Times New Roman"/>
      <w:b/>
      <w:bCs/>
      <w:kern w:val="0"/>
      <w:sz w:val="32"/>
      <w:szCs w:val="32"/>
    </w:rPr>
  </w:style>
  <w:style w:type="paragraph" w:customStyle="1" w:styleId="39">
    <w:name w:val="xl67"/>
    <w:basedOn w:val="1"/>
    <w:qFormat/>
    <w:uiPriority w:val="0"/>
    <w:pPr>
      <w:widowControl/>
      <w:spacing w:before="100" w:beforeAutospacing="1" w:after="100" w:afterAutospacing="1"/>
      <w:jc w:val="center"/>
      <w:textAlignment w:val="center"/>
    </w:pPr>
    <w:rPr>
      <w:rFonts w:ascii="宋体" w:hAnsi="宋体" w:eastAsia="宋体" w:cs="宋体"/>
      <w:kern w:val="0"/>
      <w:sz w:val="22"/>
    </w:rPr>
  </w:style>
  <w:style w:type="paragraph" w:customStyle="1" w:styleId="40">
    <w:name w:val="xl68"/>
    <w:basedOn w:val="1"/>
    <w:qFormat/>
    <w:uiPriority w:val="0"/>
    <w:pPr>
      <w:widowControl/>
      <w:spacing w:before="100" w:beforeAutospacing="1" w:after="100" w:afterAutospacing="1"/>
      <w:jc w:val="center"/>
      <w:textAlignment w:val="center"/>
    </w:pPr>
    <w:rPr>
      <w:rFonts w:ascii="宋体" w:hAnsi="宋体" w:eastAsia="宋体" w:cs="宋体"/>
      <w:kern w:val="0"/>
      <w:sz w:val="22"/>
    </w:rPr>
  </w:style>
  <w:style w:type="paragraph" w:customStyle="1" w:styleId="41">
    <w:name w:val="xl69"/>
    <w:basedOn w:val="1"/>
    <w:qFormat/>
    <w:uiPriority w:val="0"/>
    <w:pPr>
      <w:widowControl/>
      <w:spacing w:before="100" w:beforeAutospacing="1" w:after="100" w:afterAutospacing="1"/>
      <w:jc w:val="center"/>
      <w:textAlignment w:val="center"/>
    </w:pPr>
    <w:rPr>
      <w:rFonts w:ascii="宋体" w:hAnsi="宋体" w:eastAsia="宋体" w:cs="宋体"/>
      <w:kern w:val="0"/>
      <w:sz w:val="22"/>
    </w:rPr>
  </w:style>
  <w:style w:type="paragraph" w:customStyle="1" w:styleId="42">
    <w:name w:val="xl70"/>
    <w:basedOn w:val="1"/>
    <w:qFormat/>
    <w:uiPriority w:val="0"/>
    <w:pPr>
      <w:widowControl/>
      <w:spacing w:before="100" w:beforeAutospacing="1" w:after="100" w:afterAutospacing="1"/>
      <w:jc w:val="left"/>
      <w:textAlignment w:val="center"/>
    </w:pPr>
    <w:rPr>
      <w:rFonts w:ascii="宋体" w:hAnsi="宋体" w:eastAsia="宋体" w:cs="宋体"/>
      <w:kern w:val="0"/>
      <w:sz w:val="22"/>
    </w:rPr>
  </w:style>
  <w:style w:type="paragraph" w:customStyle="1" w:styleId="43">
    <w:name w:val="xl71"/>
    <w:basedOn w:val="1"/>
    <w:uiPriority w:val="0"/>
    <w:pPr>
      <w:widowControl/>
      <w:spacing w:before="100" w:beforeAutospacing="1" w:after="100" w:afterAutospacing="1"/>
      <w:jc w:val="left"/>
      <w:textAlignment w:val="center"/>
    </w:pPr>
    <w:rPr>
      <w:rFonts w:ascii="宋体" w:hAnsi="宋体" w:eastAsia="宋体" w:cs="宋体"/>
      <w:kern w:val="0"/>
      <w:sz w:val="20"/>
      <w:szCs w:val="20"/>
    </w:rPr>
  </w:style>
  <w:style w:type="paragraph" w:customStyle="1" w:styleId="44">
    <w:name w:val="xl72"/>
    <w:basedOn w:val="1"/>
    <w:qFormat/>
    <w:uiPriority w:val="0"/>
    <w:pPr>
      <w:widowControl/>
      <w:spacing w:before="100" w:beforeAutospacing="1" w:after="100" w:afterAutospacing="1"/>
      <w:jc w:val="left"/>
      <w:textAlignment w:val="center"/>
    </w:pPr>
    <w:rPr>
      <w:rFonts w:ascii="宋体" w:hAnsi="宋体" w:eastAsia="宋体" w:cs="宋体"/>
      <w:b/>
      <w:bCs/>
      <w:kern w:val="0"/>
      <w:sz w:val="20"/>
      <w:szCs w:val="20"/>
    </w:rPr>
  </w:style>
  <w:style w:type="paragraph" w:customStyle="1" w:styleId="45">
    <w:name w:val="xl73"/>
    <w:basedOn w:val="1"/>
    <w:qFormat/>
    <w:uiPriority w:val="0"/>
    <w:pPr>
      <w:widowControl/>
      <w:spacing w:before="100" w:beforeAutospacing="1" w:after="100" w:afterAutospacing="1"/>
      <w:jc w:val="left"/>
      <w:textAlignment w:val="center"/>
    </w:pPr>
    <w:rPr>
      <w:rFonts w:ascii="宋体" w:hAnsi="宋体" w:eastAsia="宋体" w:cs="宋体"/>
      <w:kern w:val="0"/>
      <w:sz w:val="24"/>
      <w:szCs w:val="24"/>
    </w:rPr>
  </w:style>
  <w:style w:type="paragraph" w:customStyle="1" w:styleId="46">
    <w:name w:val="xl74"/>
    <w:basedOn w:val="1"/>
    <w:qFormat/>
    <w:uiPriority w:val="0"/>
    <w:pPr>
      <w:widowControl/>
      <w:spacing w:before="100" w:beforeAutospacing="1" w:after="100" w:afterAutospacing="1"/>
      <w:jc w:val="left"/>
      <w:textAlignment w:val="center"/>
    </w:pPr>
    <w:rPr>
      <w:rFonts w:ascii="宋体" w:hAnsi="宋体" w:eastAsia="宋体" w:cs="宋体"/>
      <w:kern w:val="0"/>
      <w:sz w:val="22"/>
    </w:rPr>
  </w:style>
  <w:style w:type="paragraph" w:customStyle="1" w:styleId="47">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48">
    <w:name w:val="xl7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b/>
      <w:bCs/>
      <w:kern w:val="0"/>
      <w:sz w:val="20"/>
      <w:szCs w:val="20"/>
    </w:rPr>
  </w:style>
  <w:style w:type="paragraph" w:customStyle="1" w:styleId="49">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50">
    <w:name w:val="xl7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51">
    <w:name w:val="xl7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kern w:val="0"/>
      <w:sz w:val="20"/>
      <w:szCs w:val="20"/>
    </w:rPr>
  </w:style>
  <w:style w:type="paragraph" w:customStyle="1" w:styleId="52">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kern w:val="0"/>
      <w:sz w:val="20"/>
      <w:szCs w:val="20"/>
    </w:rPr>
  </w:style>
  <w:style w:type="paragraph" w:customStyle="1" w:styleId="53">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kern w:val="0"/>
      <w:sz w:val="20"/>
      <w:szCs w:val="20"/>
    </w:rPr>
  </w:style>
  <w:style w:type="paragraph" w:customStyle="1" w:styleId="54">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kern w:val="0"/>
      <w:sz w:val="20"/>
      <w:szCs w:val="20"/>
    </w:rPr>
  </w:style>
  <w:style w:type="paragraph" w:customStyle="1" w:styleId="55">
    <w:name w:val="xl8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56">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b/>
      <w:bCs/>
      <w:kern w:val="0"/>
      <w:sz w:val="20"/>
      <w:szCs w:val="20"/>
    </w:rPr>
  </w:style>
  <w:style w:type="paragraph" w:customStyle="1" w:styleId="57">
    <w:name w:val="xl8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58">
    <w:name w:val="xl8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59">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kern w:val="0"/>
      <w:sz w:val="20"/>
      <w:szCs w:val="20"/>
    </w:rPr>
  </w:style>
  <w:style w:type="paragraph" w:customStyle="1" w:styleId="60">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b/>
      <w:bCs/>
      <w:color w:val="000000"/>
      <w:kern w:val="0"/>
      <w:sz w:val="20"/>
      <w:szCs w:val="20"/>
    </w:rPr>
  </w:style>
  <w:style w:type="paragraph" w:customStyle="1" w:styleId="61">
    <w:name w:val="xl8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eastAsia="宋体" w:cs="宋体"/>
      <w:color w:val="000000"/>
      <w:kern w:val="0"/>
      <w:sz w:val="20"/>
      <w:szCs w:val="20"/>
    </w:rPr>
  </w:style>
  <w:style w:type="paragraph" w:customStyle="1" w:styleId="62">
    <w:name w:val="xl90"/>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kern w:val="0"/>
      <w:sz w:val="20"/>
      <w:szCs w:val="20"/>
    </w:rPr>
  </w:style>
  <w:style w:type="paragraph" w:customStyle="1" w:styleId="63">
    <w:name w:val="xl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color w:val="000000"/>
      <w:kern w:val="0"/>
      <w:sz w:val="20"/>
      <w:szCs w:val="20"/>
    </w:rPr>
  </w:style>
  <w:style w:type="paragraph" w:customStyle="1" w:styleId="64">
    <w:name w:val="xl9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kern w:val="0"/>
      <w:sz w:val="20"/>
      <w:szCs w:val="20"/>
    </w:rPr>
  </w:style>
  <w:style w:type="paragraph" w:customStyle="1" w:styleId="65">
    <w:name w:val="xl93"/>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eastAsia="宋体" w:cs="宋体"/>
      <w:b/>
      <w:bCs/>
      <w:color w:val="000000"/>
      <w:kern w:val="0"/>
      <w:sz w:val="20"/>
      <w:szCs w:val="20"/>
    </w:rPr>
  </w:style>
  <w:style w:type="paragraph" w:customStyle="1" w:styleId="66">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eastAsia="宋体" w:cs="宋体"/>
      <w:b/>
      <w:bCs/>
      <w:color w:val="000000"/>
      <w:kern w:val="0"/>
      <w:sz w:val="22"/>
    </w:rPr>
  </w:style>
  <w:style w:type="paragraph" w:customStyle="1" w:styleId="67">
    <w:name w:val="xl95"/>
    <w:basedOn w:val="1"/>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eastAsia="宋体" w:cs="宋体"/>
      <w:color w:val="000000"/>
      <w:kern w:val="0"/>
      <w:sz w:val="20"/>
      <w:szCs w:val="20"/>
    </w:rPr>
  </w:style>
  <w:style w:type="paragraph" w:customStyle="1" w:styleId="68">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000000"/>
      <w:kern w:val="0"/>
      <w:sz w:val="20"/>
      <w:szCs w:val="20"/>
    </w:rPr>
  </w:style>
  <w:style w:type="paragraph" w:customStyle="1" w:styleId="69">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000000"/>
      <w:kern w:val="0"/>
      <w:sz w:val="20"/>
      <w:szCs w:val="20"/>
    </w:rPr>
  </w:style>
  <w:style w:type="paragraph" w:customStyle="1" w:styleId="70">
    <w:name w:val="xl98"/>
    <w:basedOn w:val="1"/>
    <w:qFormat/>
    <w:uiPriority w:val="0"/>
    <w:pPr>
      <w:widowControl/>
      <w:spacing w:before="100" w:beforeAutospacing="1" w:after="100" w:afterAutospacing="1"/>
      <w:textAlignment w:val="center"/>
    </w:pPr>
    <w:rPr>
      <w:rFonts w:ascii="宋体" w:hAnsi="宋体" w:eastAsia="宋体" w:cs="宋体"/>
      <w:b/>
      <w:bCs/>
      <w:color w:val="0070C0"/>
      <w:kern w:val="0"/>
      <w:sz w:val="22"/>
    </w:rPr>
  </w:style>
  <w:style w:type="paragraph" w:customStyle="1" w:styleId="71">
    <w:name w:val="xl9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70C0"/>
      <w:kern w:val="0"/>
      <w:sz w:val="20"/>
      <w:szCs w:val="20"/>
    </w:rPr>
  </w:style>
  <w:style w:type="paragraph" w:customStyle="1" w:styleId="72">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0070C0"/>
      <w:kern w:val="0"/>
      <w:sz w:val="22"/>
    </w:rPr>
  </w:style>
  <w:style w:type="paragraph" w:customStyle="1" w:styleId="73">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FF0000"/>
      <w:kern w:val="0"/>
      <w:sz w:val="20"/>
      <w:szCs w:val="20"/>
    </w:rPr>
  </w:style>
  <w:style w:type="paragraph" w:customStyle="1" w:styleId="74">
    <w:name w:val="xl10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0070C0"/>
      <w:kern w:val="0"/>
      <w:sz w:val="22"/>
    </w:rPr>
  </w:style>
  <w:style w:type="paragraph" w:customStyle="1" w:styleId="75">
    <w:name w:val="xl103"/>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70C0"/>
      <w:kern w:val="0"/>
      <w:sz w:val="22"/>
    </w:rPr>
  </w:style>
  <w:style w:type="paragraph" w:customStyle="1" w:styleId="76">
    <w:name w:val="xl10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eastAsia="宋体" w:cs="宋体"/>
      <w:b/>
      <w:bCs/>
      <w:color w:val="000000"/>
      <w:kern w:val="0"/>
      <w:sz w:val="20"/>
      <w:szCs w:val="20"/>
    </w:rPr>
  </w:style>
  <w:style w:type="paragraph" w:customStyle="1" w:styleId="77">
    <w:name w:val="xl105"/>
    <w:basedOn w:val="1"/>
    <w:qFormat/>
    <w:uiPriority w:val="0"/>
    <w:pPr>
      <w:widowControl/>
      <w:pBdr>
        <w:top w:val="single" w:color="auto" w:sz="4" w:space="0"/>
        <w:bottom w:val="single" w:color="auto" w:sz="4" w:space="0"/>
      </w:pBdr>
      <w:spacing w:before="100" w:beforeAutospacing="1" w:after="100" w:afterAutospacing="1"/>
      <w:jc w:val="left"/>
      <w:textAlignment w:val="center"/>
    </w:pPr>
    <w:rPr>
      <w:rFonts w:ascii="宋体" w:hAnsi="宋体" w:eastAsia="宋体" w:cs="宋体"/>
      <w:b/>
      <w:bCs/>
      <w:color w:val="000000"/>
      <w:kern w:val="0"/>
      <w:sz w:val="20"/>
      <w:szCs w:val="20"/>
    </w:rPr>
  </w:style>
  <w:style w:type="paragraph" w:customStyle="1" w:styleId="78">
    <w:name w:val="xl10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b/>
      <w:bCs/>
      <w:color w:val="000000"/>
      <w:kern w:val="0"/>
      <w:sz w:val="20"/>
      <w:szCs w:val="20"/>
    </w:rPr>
  </w:style>
  <w:style w:type="paragraph" w:customStyle="1" w:styleId="79">
    <w:name w:val="xl107"/>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eastAsia="宋体" w:cs="宋体"/>
      <w:color w:val="0070C0"/>
      <w:kern w:val="0"/>
      <w:sz w:val="22"/>
    </w:rPr>
  </w:style>
  <w:style w:type="paragraph" w:customStyle="1" w:styleId="80">
    <w:name w:val="xl108"/>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eastAsia="宋体" w:cs="宋体"/>
      <w:b/>
      <w:bCs/>
      <w:color w:val="0070C0"/>
      <w:kern w:val="0"/>
      <w:sz w:val="22"/>
    </w:rPr>
  </w:style>
  <w:style w:type="paragraph" w:customStyle="1" w:styleId="81">
    <w:name w:val="xl109"/>
    <w:basedOn w:val="1"/>
    <w:qFormat/>
    <w:uiPriority w:val="0"/>
    <w:pPr>
      <w:widowControl/>
      <w:pBdr>
        <w:top w:val="single" w:color="auto" w:sz="4" w:space="0"/>
        <w:bottom w:val="single" w:color="auto" w:sz="4" w:space="0"/>
      </w:pBdr>
      <w:spacing w:before="100" w:beforeAutospacing="1" w:after="100" w:afterAutospacing="1"/>
      <w:jc w:val="left"/>
      <w:textAlignment w:val="center"/>
    </w:pPr>
    <w:rPr>
      <w:rFonts w:ascii="宋体" w:hAnsi="宋体" w:eastAsia="宋体" w:cs="宋体"/>
      <w:b/>
      <w:bCs/>
      <w:color w:val="0070C0"/>
      <w:kern w:val="0"/>
      <w:sz w:val="22"/>
    </w:rPr>
  </w:style>
  <w:style w:type="paragraph" w:customStyle="1" w:styleId="82">
    <w:name w:val="xl110"/>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b/>
      <w:bCs/>
      <w:color w:val="0070C0"/>
      <w:kern w:val="0"/>
      <w:sz w:val="22"/>
    </w:rPr>
  </w:style>
  <w:style w:type="paragraph" w:customStyle="1" w:styleId="83">
    <w:name w:val="xl111"/>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eastAsia="宋体" w:cs="宋体"/>
      <w:color w:val="0070C0"/>
      <w:kern w:val="0"/>
      <w:sz w:val="20"/>
      <w:szCs w:val="20"/>
    </w:rPr>
  </w:style>
  <w:style w:type="paragraph" w:customStyle="1" w:styleId="84">
    <w:name w:val="xl112"/>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eastAsia="宋体" w:cs="宋体"/>
      <w:b/>
      <w:bCs/>
      <w:color w:val="0070C0"/>
      <w:kern w:val="0"/>
      <w:sz w:val="22"/>
    </w:rPr>
  </w:style>
  <w:style w:type="paragraph" w:customStyle="1" w:styleId="85">
    <w:name w:val="xl113"/>
    <w:basedOn w:val="1"/>
    <w:qFormat/>
    <w:uiPriority w:val="0"/>
    <w:pPr>
      <w:widowControl/>
      <w:pBdr>
        <w:top w:val="single" w:color="auto" w:sz="4" w:space="0"/>
        <w:bottom w:val="single" w:color="auto" w:sz="4" w:space="0"/>
      </w:pBdr>
      <w:spacing w:before="100" w:beforeAutospacing="1" w:after="100" w:afterAutospacing="1"/>
      <w:jc w:val="left"/>
      <w:textAlignment w:val="center"/>
    </w:pPr>
    <w:rPr>
      <w:rFonts w:ascii="宋体" w:hAnsi="宋体" w:eastAsia="宋体" w:cs="宋体"/>
      <w:color w:val="0070C0"/>
      <w:kern w:val="0"/>
      <w:sz w:val="20"/>
      <w:szCs w:val="20"/>
    </w:rPr>
  </w:style>
  <w:style w:type="paragraph" w:customStyle="1" w:styleId="86">
    <w:name w:val="xl114"/>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color w:val="0070C0"/>
      <w:kern w:val="0"/>
      <w:sz w:val="20"/>
      <w:szCs w:val="20"/>
    </w:rPr>
  </w:style>
  <w:style w:type="paragraph" w:customStyle="1" w:styleId="87">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FF0000"/>
      <w:kern w:val="0"/>
      <w:sz w:val="20"/>
      <w:szCs w:val="20"/>
    </w:rPr>
  </w:style>
  <w:style w:type="paragraph" w:customStyle="1" w:styleId="88">
    <w:name w:val="xl116"/>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eastAsia="宋体" w:cs="宋体"/>
      <w:b/>
      <w:bCs/>
      <w:color w:val="000000"/>
      <w:kern w:val="0"/>
      <w:sz w:val="32"/>
      <w:szCs w:val="32"/>
    </w:rPr>
  </w:style>
  <w:style w:type="paragraph" w:customStyle="1" w:styleId="89">
    <w:name w:val="xl117"/>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eastAsia="宋体" w:cs="宋体"/>
      <w:b/>
      <w:bCs/>
      <w:color w:val="000000"/>
      <w:kern w:val="0"/>
      <w:sz w:val="32"/>
      <w:szCs w:val="32"/>
    </w:rPr>
  </w:style>
  <w:style w:type="paragraph" w:customStyle="1" w:styleId="90">
    <w:name w:val="xl11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000000"/>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B6329E-5C92-40D2-AC79-43B7CE0425D3}">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8</Pages>
  <Words>519</Words>
  <Characters>2959</Characters>
  <Lines>24</Lines>
  <Paragraphs>6</Paragraphs>
  <TotalTime>10</TotalTime>
  <ScaleCrop>false</ScaleCrop>
  <LinksUpToDate>false</LinksUpToDate>
  <CharactersWithSpaces>3472</CharactersWithSpaces>
  <Application>WPS Office_11.3.0.8775_F1E327BC-269C-435d-A152-05C5408002CA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2020-03-03T13:41:00Z</dcterms:created>
  <dc:creator>Microsoft</dc:creator>
  <cp:lastModifiedBy>＊&amp;*Yuki *~*</cp:lastModifiedBy>
  <cp:lastPrinted>2020-03-02T16:01:00Z</cp:lastPrinted>
  <dcterms:modified xsi:type="dcterms:W3CDTF">2020-03-19T01:38:05Z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